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500" w:rsidRDefault="00F0013D" w:rsidP="00F0013D">
      <w:pPr>
        <w:pStyle w:val="Titolo"/>
        <w:rPr>
          <w:rFonts w:ascii="Calibri" w:hAnsi="Calibri" w:cstheme="minorHAnsi"/>
        </w:rPr>
      </w:pPr>
      <w:r w:rsidRPr="00612500">
        <w:rPr>
          <w:rFonts w:ascii="Calibri" w:hAnsi="Calibri" w:cstheme="minorHAnsi"/>
        </w:rPr>
        <w:t xml:space="preserve">EnAlgae policy landscape analysis for </w:t>
      </w:r>
    </w:p>
    <w:p w:rsidR="00F0013D" w:rsidRPr="00612500" w:rsidRDefault="00F0013D" w:rsidP="00F0013D">
      <w:pPr>
        <w:pStyle w:val="Titolo"/>
        <w:rPr>
          <w:rFonts w:ascii="Calibri" w:hAnsi="Calibri" w:cstheme="minorHAnsi"/>
        </w:rPr>
      </w:pPr>
      <w:r w:rsidRPr="00612500">
        <w:rPr>
          <w:rFonts w:ascii="Calibri" w:hAnsi="Calibri" w:cstheme="minorHAnsi"/>
        </w:rPr>
        <w:t>Belgium</w:t>
      </w:r>
    </w:p>
    <w:p w:rsidR="00670A64" w:rsidRPr="00612500" w:rsidRDefault="00670A64" w:rsidP="0008529D">
      <w:r w:rsidRPr="00612500">
        <w:t>Landscape analysis of national and regional policies of Belgium</w:t>
      </w:r>
      <w:r w:rsidR="001A077A" w:rsidRPr="00612500">
        <w:t>,</w:t>
      </w:r>
      <w:r w:rsidRPr="00612500">
        <w:t xml:space="preserve"> that c</w:t>
      </w:r>
      <w:r w:rsidR="001A077A" w:rsidRPr="00612500">
        <w:t>ould</w:t>
      </w:r>
      <w:r w:rsidRPr="00612500">
        <w:t xml:space="preserve"> have an impact in algae cultivation</w:t>
      </w:r>
      <w:r w:rsidR="001A077A" w:rsidRPr="00612500">
        <w:t>,</w:t>
      </w:r>
      <w:r w:rsidRPr="00612500">
        <w:t xml:space="preserve"> revealed a number of strategies, mandates, and economic incentives on climate change, bioenergy, and water. Production of Energetic Algae (or algae for production of fuels and energy) is a new concept in Belgium, and existing bioenergy and environmental strategies were not found to be actively supportive to energetic algae. </w:t>
      </w:r>
      <w:r w:rsidR="00423340">
        <w:t>Consequently, to</w:t>
      </w:r>
      <w:r w:rsidR="00423340" w:rsidRPr="00EA44A4">
        <w:t xml:space="preserve"> identify policies that </w:t>
      </w:r>
      <w:r w:rsidR="00423340">
        <w:t>could affect</w:t>
      </w:r>
      <w:r w:rsidR="00423340" w:rsidRPr="00EA44A4">
        <w:t xml:space="preserve"> energetic algae, research </w:t>
      </w:r>
      <w:r w:rsidR="00423340">
        <w:t>was focussed on</w:t>
      </w:r>
      <w:r w:rsidR="00423340" w:rsidRPr="00EA44A4">
        <w:t xml:space="preserve"> generic biomass, bioenergy and environmental strategies.</w:t>
      </w:r>
    </w:p>
    <w:p w:rsidR="00670A64" w:rsidRPr="00612500" w:rsidRDefault="00670A64" w:rsidP="0008529D">
      <w:r w:rsidRPr="00612500">
        <w:t>Many of the identified national and regional policies in Belgium are in fact response mechanisms to EU-level overarching strategies and targets. Nevertheless, Belgium, like each EU member state, can set its own priorities and strategies in order to reach the EU targets. With regards to national energy targets, Belgium has a primary obligation set in the EU Renewable Energy Directive (RED) to source 13% of its energy use from renewables by 2020,</w:t>
      </w:r>
      <w:r w:rsidR="008778C2">
        <w:t xml:space="preserve"> including 10% from transport.</w:t>
      </w:r>
      <w:r w:rsidR="008778C2" w:rsidRPr="008778C2">
        <w:t xml:space="preserve">In response to RED targets, </w:t>
      </w:r>
      <w:r w:rsidR="008778C2">
        <w:t>Belgium</w:t>
      </w:r>
      <w:r w:rsidR="008778C2" w:rsidRPr="008778C2">
        <w:t xml:space="preserve"> plans to source </w:t>
      </w:r>
      <w:r w:rsidR="008778C2" w:rsidRPr="00612500">
        <w:rPr>
          <w:rFonts w:eastAsia="Times New Roman" w:cs="Times New Roman"/>
          <w:lang w:eastAsia="en-GB"/>
        </w:rPr>
        <w:t>20.9%</w:t>
      </w:r>
      <w:bookmarkStart w:id="0" w:name="_GoBack"/>
      <w:bookmarkEnd w:id="0"/>
      <w:r w:rsidR="008778C2" w:rsidRPr="008778C2">
        <w:t>of electric</w:t>
      </w:r>
      <w:r w:rsidR="00C14A3B">
        <w:t xml:space="preserve">ity and </w:t>
      </w:r>
      <w:r w:rsidR="008778C2" w:rsidRPr="00612500">
        <w:rPr>
          <w:rFonts w:eastAsia="Times New Roman" w:cs="Times New Roman"/>
          <w:lang w:eastAsia="en-GB"/>
        </w:rPr>
        <w:t xml:space="preserve">11.9% </w:t>
      </w:r>
      <w:r w:rsidR="008778C2" w:rsidRPr="008778C2">
        <w:t>of heat consumption from renewable sources.</w:t>
      </w:r>
      <w:r w:rsidRPr="00612500">
        <w:rPr>
          <w:rFonts w:eastAsia="Times New Roman" w:cs="Times New Roman"/>
          <w:lang w:eastAsia="en-GB"/>
        </w:rPr>
        <w:t xml:space="preserve"> Most e</w:t>
      </w:r>
      <w:r w:rsidRPr="00612500">
        <w:t xml:space="preserve">nergy and climate change policies are partitioned by region (Wallonia, Flanders, Brussels-capital region), which leads to an unclear division of strategies within the regions and between the federal and the regional authorities. </w:t>
      </w:r>
    </w:p>
    <w:p w:rsidR="00670A64" w:rsidRPr="00612500" w:rsidRDefault="00670A64" w:rsidP="0008529D">
      <w:r w:rsidRPr="00612500">
        <w:t>Technologies that Belgium national and regional policies strategically support for production of electricity, heat and biofuels include solar, hydro, biogas, landfill gas, and waste combustion. Further on, these technologies are ranked based on satisfying a list of criteria such as cost of technology, land footprint, and CO</w:t>
      </w:r>
      <w:r w:rsidRPr="00E55044">
        <w:rPr>
          <w:vertAlign w:val="subscript"/>
        </w:rPr>
        <w:t>2</w:t>
      </w:r>
      <w:r w:rsidRPr="00612500">
        <w:t xml:space="preserve"> economy. Advanced energy technologies entailing low capital costs, low land footprint (e.g. offshore), and high CO</w:t>
      </w:r>
      <w:r w:rsidRPr="00E55044">
        <w:rPr>
          <w:vertAlign w:val="subscript"/>
        </w:rPr>
        <w:t>2</w:t>
      </w:r>
      <w:r w:rsidR="00E55044">
        <w:t>savings</w:t>
      </w:r>
      <w:r w:rsidRPr="00612500">
        <w:t xml:space="preserve"> (including sustainability based on RED), rank strategically higher in Belgian energy and climate policies. Belgian policies support energy technologies by providing financial support, and underpinning technology development. Uptake of energy technologies is economically supported by a quota system (Green Certificates), capital investment subsidies, and product tax regulations. </w:t>
      </w:r>
    </w:p>
    <w:p w:rsidR="00670A64" w:rsidRPr="00612500" w:rsidRDefault="00670A64" w:rsidP="0008529D">
      <w:r w:rsidRPr="00612500">
        <w:t xml:space="preserve">Energy producers are obliged to satisfy quotas by presenting Green Certificates. The certificates are tradable in the market and have a minimum price guaranteed by the federal government. In regard to the subsidies, admissible costs vary by technology and they are 50% for biomass, biogas and CHP generation plants. Finally the tax cuts are applied for the biofuels sector in a national level in combination to fuel quotas. </w:t>
      </w:r>
    </w:p>
    <w:p w:rsidR="00670A64" w:rsidRPr="00612500" w:rsidRDefault="00670A64" w:rsidP="0008529D">
      <w:r w:rsidRPr="00612500">
        <w:t>Finally as regards to the environment, inland and coastal water as well as wastewater policies have been looked upon. These policies fall under also regional law in Belgium. The identified policies set the framework for water and wastewater management for improving natural environment, agriculture and fisheries.</w:t>
      </w:r>
    </w:p>
    <w:p w:rsidR="00670A64" w:rsidRPr="00612500" w:rsidRDefault="005A4468" w:rsidP="0008529D">
      <w:pPr>
        <w:rPr>
          <w:rFonts w:cstheme="minorHAnsi"/>
        </w:rPr>
      </w:pPr>
      <w:r>
        <w:t>In the following section</w:t>
      </w:r>
      <w:r w:rsidR="00670A64" w:rsidRPr="00612500">
        <w:t>findings from landscape analysis of Belgian legislation are listed by topic. First are presented the overarching strategies and acts, which are then followed by targeting incentives.</w:t>
      </w:r>
    </w:p>
    <w:p w:rsidR="00F0013D" w:rsidRPr="00612500" w:rsidRDefault="00F0013D" w:rsidP="00F0013D">
      <w:pPr>
        <w:rPr>
          <w:rFonts w:ascii="Calibri" w:hAnsi="Calibri"/>
        </w:rPr>
      </w:pPr>
    </w:p>
    <w:p w:rsidR="00F0013D" w:rsidRPr="00612500" w:rsidRDefault="00F0013D" w:rsidP="00EB50A9">
      <w:pPr>
        <w:keepNext/>
        <w:keepLines/>
        <w:spacing w:before="480" w:after="0"/>
        <w:outlineLvl w:val="0"/>
        <w:rPr>
          <w:rFonts w:ascii="Calibri" w:eastAsiaTheme="majorEastAsia" w:hAnsi="Calibri" w:cstheme="majorBidi"/>
          <w:b/>
          <w:bCs/>
          <w:color w:val="365F91" w:themeColor="accent1" w:themeShade="BF"/>
        </w:rPr>
        <w:sectPr w:rsidR="00F0013D" w:rsidRPr="00612500" w:rsidSect="00F0013D">
          <w:footerReference w:type="default" r:id="rId11"/>
          <w:pgSz w:w="11906" w:h="16838"/>
          <w:pgMar w:top="1440" w:right="1134" w:bottom="1440" w:left="1440" w:header="709" w:footer="709" w:gutter="0"/>
          <w:cols w:space="708"/>
          <w:docGrid w:linePitch="360"/>
        </w:sectPr>
      </w:pPr>
    </w:p>
    <w:p w:rsidR="00035EA4" w:rsidRPr="00612500" w:rsidRDefault="00035EA4" w:rsidP="00CC4D3B">
      <w:pPr>
        <w:pStyle w:val="Titolo2"/>
        <w:rPr>
          <w:rFonts w:ascii="Calibri" w:eastAsiaTheme="majorEastAsia" w:hAnsi="Calibri"/>
        </w:rPr>
      </w:pPr>
      <w:r w:rsidRPr="00612500">
        <w:rPr>
          <w:rFonts w:ascii="Calibri" w:eastAsiaTheme="majorEastAsia" w:hAnsi="Calibri"/>
        </w:rPr>
        <w:lastRenderedPageBreak/>
        <w:t xml:space="preserve">General Climate change Policy Framework </w:t>
      </w:r>
    </w:p>
    <w:tbl>
      <w:tblPr>
        <w:tblStyle w:val="Sfondomedio1-Colore2"/>
        <w:tblpPr w:leftFromText="181" w:rightFromText="181" w:vertAnchor="text" w:horzAnchor="margin" w:tblpXSpec="center" w:tblpY="1"/>
        <w:tblOverlap w:val="never"/>
        <w:tblW w:w="0" w:type="auto"/>
        <w:tblLook w:val="06A0"/>
      </w:tblPr>
      <w:tblGrid>
        <w:gridCol w:w="3878"/>
        <w:gridCol w:w="10296"/>
      </w:tblGrid>
      <w:tr w:rsidR="00F0013D" w:rsidRPr="00612500" w:rsidTr="00035EA4">
        <w:trPr>
          <w:cnfStyle w:val="100000000000"/>
          <w:cantSplit/>
        </w:trPr>
        <w:tc>
          <w:tcPr>
            <w:cnfStyle w:val="001000000000"/>
            <w:tcW w:w="0" w:type="auto"/>
          </w:tcPr>
          <w:p w:rsidR="00F0013D" w:rsidRPr="00612500" w:rsidRDefault="00F0013D" w:rsidP="00035EA4">
            <w:pPr>
              <w:jc w:val="left"/>
              <w:rPr>
                <w:rFonts w:ascii="Calibri" w:eastAsia="Times New Roman" w:hAnsi="Calibri" w:cs="Times New Roman"/>
                <w:color w:val="auto"/>
                <w:lang w:eastAsia="en-GB"/>
              </w:rPr>
            </w:pPr>
            <w:r w:rsidRPr="00612500">
              <w:rPr>
                <w:rFonts w:ascii="Calibri" w:eastAsia="Times New Roman" w:hAnsi="Calibri" w:cs="Times New Roman"/>
                <w:color w:val="auto"/>
                <w:lang w:eastAsia="en-GB"/>
              </w:rPr>
              <w:t>Policy</w:t>
            </w:r>
          </w:p>
        </w:tc>
        <w:tc>
          <w:tcPr>
            <w:tcW w:w="0" w:type="auto"/>
          </w:tcPr>
          <w:p w:rsidR="00F0013D" w:rsidRPr="00612500" w:rsidRDefault="00F0013D" w:rsidP="00035EA4">
            <w:pPr>
              <w:jc w:val="left"/>
              <w:cnfStyle w:val="100000000000"/>
              <w:rPr>
                <w:rFonts w:ascii="Calibri" w:eastAsia="Times New Roman" w:hAnsi="Calibri" w:cs="Times New Roman"/>
                <w:color w:val="auto"/>
                <w:lang w:eastAsia="en-GB"/>
              </w:rPr>
            </w:pPr>
            <w:r w:rsidRPr="00612500">
              <w:rPr>
                <w:rFonts w:ascii="Calibri" w:eastAsia="Times New Roman" w:hAnsi="Calibri" w:cs="Times New Roman"/>
                <w:color w:val="auto"/>
                <w:lang w:eastAsia="en-GB"/>
              </w:rPr>
              <w:t>Key Measures/Aims</w:t>
            </w:r>
          </w:p>
        </w:tc>
      </w:tr>
      <w:tr w:rsidR="00F0013D" w:rsidRPr="00612500" w:rsidTr="00035EA4">
        <w:trPr>
          <w:cantSplit/>
        </w:trPr>
        <w:tc>
          <w:tcPr>
            <w:cnfStyle w:val="001000000000"/>
            <w:tcW w:w="0" w:type="auto"/>
          </w:tcPr>
          <w:p w:rsidR="00F0013D" w:rsidRPr="00612500" w:rsidRDefault="00F0013D" w:rsidP="00035EA4">
            <w:pPr>
              <w:jc w:val="left"/>
              <w:rPr>
                <w:rFonts w:ascii="Calibri" w:eastAsia="Times New Roman" w:hAnsi="Calibri" w:cs="Times New Roman"/>
                <w:lang w:eastAsia="en-GB"/>
              </w:rPr>
            </w:pPr>
            <w:r w:rsidRPr="00612500">
              <w:rPr>
                <w:rFonts w:ascii="Calibri" w:eastAsia="Times New Roman" w:hAnsi="Calibri" w:cs="Times New Roman"/>
                <w:lang w:eastAsia="en-GB"/>
              </w:rPr>
              <w:t xml:space="preserve">National Action Plan on Renewable Energy 2020 </w:t>
            </w:r>
          </w:p>
        </w:tc>
        <w:tc>
          <w:tcPr>
            <w:tcW w:w="0" w:type="auto"/>
          </w:tcPr>
          <w:p w:rsidR="00F0013D" w:rsidRPr="00612500" w:rsidRDefault="00F0013D" w:rsidP="00035EA4">
            <w:pPr>
              <w:jc w:val="left"/>
              <w:cnfStyle w:val="000000000000"/>
              <w:rPr>
                <w:rFonts w:ascii="Calibri" w:eastAsia="Times New Roman" w:hAnsi="Calibri" w:cs="Times New Roman"/>
                <w:lang w:eastAsia="en-GB"/>
              </w:rPr>
            </w:pPr>
            <w:r w:rsidRPr="00612500">
              <w:rPr>
                <w:rFonts w:ascii="Calibri" w:eastAsia="Times New Roman" w:hAnsi="Calibri" w:cs="Times New Roman"/>
                <w:lang w:eastAsia="en-GB"/>
              </w:rPr>
              <w:t xml:space="preserve">Sets objectives for heating, power and transportation to reach a 13% share of renewable energy by 2020. Sectorally, this equates to 20.9% renewable electricity (23 TWh), 11.9% heating and cooling (30 TWh) and 10.14% transport (9 TWh) by 2020. </w:t>
            </w:r>
          </w:p>
        </w:tc>
      </w:tr>
      <w:tr w:rsidR="00F0013D" w:rsidRPr="00612500" w:rsidTr="00035EA4">
        <w:trPr>
          <w:cantSplit/>
        </w:trPr>
        <w:tc>
          <w:tcPr>
            <w:cnfStyle w:val="001000000000"/>
            <w:tcW w:w="0" w:type="auto"/>
          </w:tcPr>
          <w:p w:rsidR="00F0013D" w:rsidRPr="00612500" w:rsidRDefault="00F0013D" w:rsidP="00035EA4">
            <w:pPr>
              <w:jc w:val="left"/>
              <w:rPr>
                <w:rFonts w:ascii="Calibri" w:eastAsia="Times New Roman" w:hAnsi="Calibri" w:cs="Times New Roman"/>
                <w:lang w:eastAsia="en-GB"/>
              </w:rPr>
            </w:pPr>
            <w:r w:rsidRPr="00612500">
              <w:rPr>
                <w:rFonts w:ascii="Calibri" w:eastAsia="Times New Roman" w:hAnsi="Calibri" w:cs="Times New Roman"/>
                <w:lang w:eastAsia="en-GB"/>
              </w:rPr>
              <w:t xml:space="preserve">Vlaanderen in Actie Pact 2020 </w:t>
            </w:r>
          </w:p>
        </w:tc>
        <w:tc>
          <w:tcPr>
            <w:tcW w:w="0" w:type="auto"/>
          </w:tcPr>
          <w:p w:rsidR="00F0013D" w:rsidRPr="00612500" w:rsidRDefault="00F0013D" w:rsidP="00035EA4">
            <w:pPr>
              <w:jc w:val="left"/>
              <w:cnfStyle w:val="000000000000"/>
              <w:rPr>
                <w:rFonts w:ascii="Calibri" w:eastAsia="Times New Roman" w:hAnsi="Calibri" w:cs="Times New Roman"/>
                <w:lang w:eastAsia="en-GB"/>
              </w:rPr>
            </w:pPr>
            <w:r w:rsidRPr="00612500">
              <w:rPr>
                <w:rFonts w:ascii="Calibri" w:eastAsia="Times New Roman" w:hAnsi="Calibri" w:cs="Times New Roman"/>
                <w:lang w:eastAsia="en-GB"/>
              </w:rPr>
              <w:t xml:space="preserve">It is a project aiming to stimulate an innovative, sustainable and social Flanders by 2020. In practice, concrete actions and goals are set in the field of energy, economy, welfare, etc. </w:t>
            </w:r>
          </w:p>
        </w:tc>
      </w:tr>
      <w:tr w:rsidR="00F0013D" w:rsidRPr="00612500" w:rsidTr="00035EA4">
        <w:trPr>
          <w:cantSplit/>
        </w:trPr>
        <w:tc>
          <w:tcPr>
            <w:cnfStyle w:val="001000000000"/>
            <w:tcW w:w="0" w:type="auto"/>
          </w:tcPr>
          <w:p w:rsidR="00F0013D" w:rsidRPr="00612500" w:rsidRDefault="00F0013D" w:rsidP="00035EA4">
            <w:pPr>
              <w:jc w:val="left"/>
              <w:rPr>
                <w:rFonts w:ascii="Calibri" w:eastAsia="Times New Roman" w:hAnsi="Calibri" w:cs="Times New Roman"/>
                <w:lang w:eastAsia="en-GB"/>
              </w:rPr>
            </w:pPr>
            <w:r w:rsidRPr="00612500">
              <w:rPr>
                <w:rFonts w:ascii="Calibri" w:eastAsia="Times New Roman" w:hAnsi="Calibri" w:cs="Times New Roman"/>
                <w:lang w:eastAsia="en-GB"/>
              </w:rPr>
              <w:t>Flemish climate policy plan for 2006–2012 (VlaamseOverheid 2006).</w:t>
            </w:r>
          </w:p>
        </w:tc>
        <w:tc>
          <w:tcPr>
            <w:tcW w:w="0" w:type="auto"/>
          </w:tcPr>
          <w:p w:rsidR="00F0013D" w:rsidRPr="00612500" w:rsidRDefault="00707D2D" w:rsidP="00035EA4">
            <w:pPr>
              <w:jc w:val="left"/>
              <w:cnfStyle w:val="000000000000"/>
              <w:rPr>
                <w:rFonts w:ascii="Calibri" w:eastAsia="Times New Roman" w:hAnsi="Calibri" w:cs="Times New Roman"/>
                <w:lang w:eastAsia="en-GB"/>
              </w:rPr>
            </w:pPr>
            <w:r w:rsidRPr="00612500">
              <w:rPr>
                <w:rFonts w:ascii="Calibri" w:eastAsia="Times New Roman" w:hAnsi="Calibri" w:cs="Times New Roman"/>
                <w:lang w:eastAsia="en-GB"/>
              </w:rPr>
              <w:t>Outlines</w:t>
            </w:r>
            <w:r w:rsidR="00F0013D" w:rsidRPr="00612500">
              <w:rPr>
                <w:rFonts w:ascii="Calibri" w:eastAsia="Times New Roman" w:hAnsi="Calibri" w:cs="Times New Roman"/>
                <w:lang w:eastAsia="en-GB"/>
              </w:rPr>
              <w:t xml:space="preserve"> measures to reduce greenhouse gas emissions by 5.2% between 2008 and 2012 compared to 1990.</w:t>
            </w:r>
          </w:p>
        </w:tc>
      </w:tr>
      <w:tr w:rsidR="00F0013D" w:rsidRPr="00612500" w:rsidTr="00035EA4">
        <w:trPr>
          <w:cantSplit/>
        </w:trPr>
        <w:tc>
          <w:tcPr>
            <w:cnfStyle w:val="001000000000"/>
            <w:tcW w:w="0" w:type="auto"/>
          </w:tcPr>
          <w:p w:rsidR="00F0013D" w:rsidRPr="00612500" w:rsidRDefault="00F0013D" w:rsidP="00035EA4">
            <w:pPr>
              <w:jc w:val="left"/>
              <w:rPr>
                <w:rFonts w:ascii="Calibri" w:eastAsia="Times New Roman" w:hAnsi="Calibri" w:cs="Times New Roman"/>
                <w:lang w:eastAsia="en-GB"/>
              </w:rPr>
            </w:pPr>
            <w:r w:rsidRPr="00612500">
              <w:rPr>
                <w:rFonts w:ascii="Calibri" w:eastAsia="Times New Roman" w:hAnsi="Calibri" w:cs="Times New Roman"/>
                <w:lang w:eastAsia="en-GB"/>
              </w:rPr>
              <w:t>Wallonian Climate-Air plan for 2007−2012</w:t>
            </w:r>
            <w:r w:rsidRPr="00612500">
              <w:rPr>
                <w:rFonts w:ascii="Calibri" w:eastAsia="Times New Roman" w:hAnsi="Calibri" w:cs="Times New Roman"/>
                <w:vertAlign w:val="superscript"/>
                <w:lang w:eastAsia="en-GB"/>
              </w:rPr>
              <w:footnoteReference w:id="2"/>
            </w:r>
          </w:p>
        </w:tc>
        <w:tc>
          <w:tcPr>
            <w:tcW w:w="0" w:type="auto"/>
          </w:tcPr>
          <w:p w:rsidR="00F0013D" w:rsidRPr="00612500" w:rsidRDefault="00F0013D" w:rsidP="00035EA4">
            <w:pPr>
              <w:jc w:val="left"/>
              <w:cnfStyle w:val="000000000000"/>
              <w:rPr>
                <w:rFonts w:ascii="Calibri" w:eastAsia="Times New Roman" w:hAnsi="Calibri" w:cs="Times New Roman"/>
                <w:lang w:eastAsia="en-GB"/>
              </w:rPr>
            </w:pPr>
            <w:r w:rsidRPr="00612500">
              <w:rPr>
                <w:rFonts w:ascii="Calibri" w:eastAsia="Times New Roman" w:hAnsi="Calibri" w:cs="Times New Roman"/>
                <w:lang w:eastAsia="en-GB"/>
              </w:rPr>
              <w:t>It contains more than 100 measures to reduce GHG emissions by 7.5% compared to 1990 levels. However, the Climate-Air plan does not explicitly break down the target of 7.5% into sector targets in Wallonia. These measures apply to all sectors including industry, transport, energy, buildings, agriculture, and involve a broad range of actors, such as public authorities, transport and the tertiary sector.</w:t>
            </w:r>
          </w:p>
        </w:tc>
      </w:tr>
      <w:tr w:rsidR="00F0013D" w:rsidRPr="00612500" w:rsidTr="00035EA4">
        <w:trPr>
          <w:cantSplit/>
        </w:trPr>
        <w:tc>
          <w:tcPr>
            <w:cnfStyle w:val="001000000000"/>
            <w:tcW w:w="0" w:type="auto"/>
          </w:tcPr>
          <w:p w:rsidR="00F0013D" w:rsidRPr="00612500" w:rsidRDefault="00F0013D" w:rsidP="00035EA4">
            <w:pPr>
              <w:jc w:val="left"/>
              <w:rPr>
                <w:rFonts w:ascii="Calibri" w:eastAsia="Times New Roman" w:hAnsi="Calibri" w:cs="Times New Roman"/>
                <w:lang w:eastAsia="en-GB"/>
              </w:rPr>
            </w:pPr>
            <w:r w:rsidRPr="00612500">
              <w:rPr>
                <w:rFonts w:ascii="Calibri" w:eastAsia="Times New Roman" w:hAnsi="Calibri" w:cs="Times New Roman"/>
                <w:lang w:eastAsia="en-GB"/>
              </w:rPr>
              <w:t>Brussels-Capital Region’s Government Agreement 2009−2014</w:t>
            </w:r>
          </w:p>
        </w:tc>
        <w:tc>
          <w:tcPr>
            <w:tcW w:w="0" w:type="auto"/>
          </w:tcPr>
          <w:p w:rsidR="00F0013D" w:rsidRPr="00612500" w:rsidRDefault="00F0013D" w:rsidP="00035EA4">
            <w:pPr>
              <w:jc w:val="left"/>
              <w:cnfStyle w:val="000000000000"/>
              <w:rPr>
                <w:rFonts w:ascii="Calibri" w:eastAsia="Times New Roman" w:hAnsi="Calibri" w:cs="Times New Roman"/>
                <w:lang w:eastAsia="en-GB"/>
              </w:rPr>
            </w:pPr>
            <w:r w:rsidRPr="00612500">
              <w:rPr>
                <w:rFonts w:ascii="Calibri" w:eastAsia="Times New Roman" w:hAnsi="Calibri" w:cs="Times New Roman"/>
                <w:lang w:eastAsia="en-GB"/>
              </w:rPr>
              <w:t>It outlines the main measures to be undertaken by the Government of the Brussels-Capital Region by 2014. According to this agreement, the Brussels-Capital Region plans a 30% reduction of GHG emissions by 2025 (baseline 1990) through the implementation of several measures promoting inter alia energy efficiency and renewable energies. However, the plan does not provide further details on the targets to be reached in each sector.</w:t>
            </w:r>
          </w:p>
        </w:tc>
      </w:tr>
      <w:tr w:rsidR="00F0013D" w:rsidRPr="00612500" w:rsidTr="00035EA4">
        <w:trPr>
          <w:cantSplit/>
        </w:trPr>
        <w:tc>
          <w:tcPr>
            <w:cnfStyle w:val="001000000000"/>
            <w:tcW w:w="0" w:type="auto"/>
          </w:tcPr>
          <w:p w:rsidR="00F0013D" w:rsidRPr="00612500" w:rsidRDefault="00614B36" w:rsidP="00035EA4">
            <w:pPr>
              <w:jc w:val="left"/>
              <w:rPr>
                <w:rFonts w:ascii="Calibri" w:eastAsia="Times New Roman" w:hAnsi="Calibri" w:cs="Times New Roman"/>
                <w:lang w:eastAsia="en-GB"/>
              </w:rPr>
            </w:pPr>
            <w:r w:rsidRPr="00612500">
              <w:rPr>
                <w:rFonts w:ascii="Calibri" w:eastAsia="Times New Roman" w:hAnsi="Calibri" w:cs="Times New Roman"/>
                <w:lang w:eastAsia="en-GB"/>
              </w:rPr>
              <w:t>Brussels</w:t>
            </w:r>
            <w:r w:rsidR="00F0013D" w:rsidRPr="00612500">
              <w:rPr>
                <w:rFonts w:ascii="Calibri" w:eastAsia="Times New Roman" w:hAnsi="Calibri" w:cs="Times New Roman"/>
                <w:lang w:eastAsia="en-GB"/>
              </w:rPr>
              <w:t>-Capital region’s action plan  (March 2010) in</w:t>
            </w:r>
            <w:r w:rsidR="007276A1" w:rsidRPr="00612500">
              <w:rPr>
                <w:rFonts w:ascii="Calibri" w:eastAsia="Times New Roman" w:hAnsi="Calibri" w:cs="Times New Roman"/>
                <w:lang w:eastAsia="en-GB"/>
              </w:rPr>
              <w:t xml:space="preserve"> response to Covenant of Mayors</w:t>
            </w:r>
            <w:r w:rsidR="00F0013D" w:rsidRPr="00612500">
              <w:rPr>
                <w:rFonts w:ascii="Calibri" w:eastAsia="Times New Roman" w:hAnsi="Calibri" w:cs="Times New Roman"/>
                <w:lang w:eastAsia="en-GB"/>
              </w:rPr>
              <w:t xml:space="preserve"> (DG TREN)</w:t>
            </w:r>
          </w:p>
        </w:tc>
        <w:tc>
          <w:tcPr>
            <w:tcW w:w="0" w:type="auto"/>
          </w:tcPr>
          <w:p w:rsidR="00F0013D" w:rsidRPr="00612500" w:rsidRDefault="007276A1" w:rsidP="00035EA4">
            <w:pPr>
              <w:jc w:val="left"/>
              <w:cnfStyle w:val="000000000000"/>
              <w:rPr>
                <w:rFonts w:ascii="Calibri" w:eastAsia="Times New Roman" w:hAnsi="Calibri" w:cs="Times New Roman"/>
                <w:lang w:eastAsia="en-GB"/>
              </w:rPr>
            </w:pPr>
            <w:r w:rsidRPr="00612500">
              <w:rPr>
                <w:rFonts w:ascii="Calibri" w:eastAsia="Times New Roman" w:hAnsi="Calibri" w:cs="Times New Roman"/>
                <w:lang w:eastAsia="en-GB"/>
              </w:rPr>
              <w:t>T</w:t>
            </w:r>
            <w:r w:rsidR="00F0013D" w:rsidRPr="00612500">
              <w:rPr>
                <w:rFonts w:ascii="Calibri" w:eastAsia="Times New Roman" w:hAnsi="Calibri" w:cs="Times New Roman"/>
                <w:lang w:eastAsia="en-GB"/>
              </w:rPr>
              <w:t>he Brussels-Capital Region has established an action plan published in March 2010 and outlining the measures to be implemented to achieve emission reductions of 30% by 2025.</w:t>
            </w:r>
          </w:p>
        </w:tc>
      </w:tr>
      <w:tr w:rsidR="00F0013D" w:rsidRPr="00612500" w:rsidTr="00035EA4">
        <w:trPr>
          <w:cantSplit/>
        </w:trPr>
        <w:tc>
          <w:tcPr>
            <w:cnfStyle w:val="001000000000"/>
            <w:tcW w:w="0" w:type="auto"/>
          </w:tcPr>
          <w:p w:rsidR="00F0013D" w:rsidRPr="00612500" w:rsidRDefault="00F0013D" w:rsidP="00035EA4">
            <w:pPr>
              <w:jc w:val="left"/>
              <w:rPr>
                <w:rFonts w:ascii="Calibri" w:eastAsia="Times New Roman" w:hAnsi="Calibri" w:cs="Times New Roman"/>
                <w:lang w:eastAsia="en-GB"/>
              </w:rPr>
            </w:pPr>
            <w:r w:rsidRPr="00612500">
              <w:rPr>
                <w:rFonts w:ascii="Calibri" w:eastAsia="Times New Roman" w:hAnsi="Calibri" w:cs="Times New Roman"/>
                <w:lang w:eastAsia="en-GB"/>
              </w:rPr>
              <w:t>Brussels Code for air, climate and energy control (COBRACE) (31 May 2013)</w:t>
            </w:r>
            <w:r w:rsidRPr="00612500">
              <w:rPr>
                <w:rFonts w:ascii="Calibri" w:eastAsia="Times New Roman" w:hAnsi="Calibri" w:cs="Times New Roman"/>
                <w:vertAlign w:val="superscript"/>
                <w:lang w:eastAsia="en-GB"/>
              </w:rPr>
              <w:footnoteReference w:id="3"/>
            </w:r>
          </w:p>
        </w:tc>
        <w:tc>
          <w:tcPr>
            <w:tcW w:w="0" w:type="auto"/>
          </w:tcPr>
          <w:p w:rsidR="00F0013D" w:rsidRPr="00612500" w:rsidRDefault="00F0013D" w:rsidP="00035EA4">
            <w:pPr>
              <w:jc w:val="left"/>
              <w:cnfStyle w:val="000000000000"/>
              <w:rPr>
                <w:rFonts w:ascii="Calibri" w:eastAsia="Times New Roman" w:hAnsi="Calibri" w:cs="Times New Roman"/>
                <w:lang w:eastAsia="en-GB"/>
              </w:rPr>
            </w:pPr>
            <w:r w:rsidRPr="00612500">
              <w:rPr>
                <w:rFonts w:ascii="Calibri" w:eastAsia="Times New Roman" w:hAnsi="Calibri" w:cs="Times New Roman"/>
                <w:lang w:eastAsia="en-GB"/>
              </w:rPr>
              <w:t>It integrates air, climate and energy areas in one single regulation and coordinates the different corresponding measures.</w:t>
            </w:r>
          </w:p>
        </w:tc>
      </w:tr>
      <w:tr w:rsidR="00F0013D" w:rsidRPr="00612500" w:rsidTr="00035EA4">
        <w:trPr>
          <w:cantSplit/>
        </w:trPr>
        <w:tc>
          <w:tcPr>
            <w:cnfStyle w:val="001000000000"/>
            <w:tcW w:w="0" w:type="auto"/>
          </w:tcPr>
          <w:p w:rsidR="00F0013D" w:rsidRPr="00612500" w:rsidRDefault="00F0013D" w:rsidP="00035EA4">
            <w:pPr>
              <w:jc w:val="left"/>
              <w:rPr>
                <w:rFonts w:ascii="Calibri" w:eastAsia="Times New Roman" w:hAnsi="Calibri" w:cs="Times New Roman"/>
                <w:lang w:eastAsia="en-GB"/>
              </w:rPr>
            </w:pPr>
            <w:r w:rsidRPr="00612500">
              <w:rPr>
                <w:rFonts w:ascii="Calibri" w:eastAsia="Times New Roman" w:hAnsi="Calibri" w:cs="Times New Roman"/>
                <w:lang w:eastAsia="en-GB"/>
              </w:rPr>
              <w:lastRenderedPageBreak/>
              <w:t>Flemish climate programme 2013−2020 (draft 1 February 2013)- VlaamseRegering 2013</w:t>
            </w:r>
          </w:p>
        </w:tc>
        <w:tc>
          <w:tcPr>
            <w:tcW w:w="0" w:type="auto"/>
          </w:tcPr>
          <w:p w:rsidR="00F0013D" w:rsidRPr="00612500" w:rsidRDefault="00F0013D" w:rsidP="00300247">
            <w:pPr>
              <w:jc w:val="left"/>
              <w:cnfStyle w:val="000000000000"/>
              <w:rPr>
                <w:rFonts w:ascii="Calibri" w:eastAsia="Times New Roman" w:hAnsi="Calibri" w:cs="Times New Roman"/>
                <w:lang w:eastAsia="en-GB"/>
              </w:rPr>
            </w:pPr>
            <w:r w:rsidRPr="00612500">
              <w:rPr>
                <w:rFonts w:ascii="Calibri" w:eastAsia="Times New Roman" w:hAnsi="Calibri" w:cs="Times New Roman"/>
                <w:lang w:eastAsia="en-GB"/>
              </w:rPr>
              <w:t>The final plan has not be</w:t>
            </w:r>
            <w:r w:rsidR="005C15FC" w:rsidRPr="00612500">
              <w:rPr>
                <w:rFonts w:ascii="Calibri" w:eastAsia="Times New Roman" w:hAnsi="Calibri" w:cs="Times New Roman"/>
                <w:lang w:eastAsia="en-GB"/>
              </w:rPr>
              <w:t>en approved yet (October 2013).</w:t>
            </w:r>
            <w:r w:rsidRPr="00612500">
              <w:rPr>
                <w:rFonts w:ascii="Calibri" w:eastAsia="Times New Roman" w:hAnsi="Calibri" w:cs="Times New Roman"/>
                <w:lang w:eastAsia="en-GB"/>
              </w:rPr>
              <w:t xml:space="preserve"> The plan comprises two separate but mutually strongly aligned components: The VlaamsMitigatieplan and the VlaamsAdaptatieplan. The </w:t>
            </w:r>
            <w:r w:rsidR="005C15FC" w:rsidRPr="00612500">
              <w:rPr>
                <w:rFonts w:ascii="Calibri" w:eastAsia="Times New Roman" w:hAnsi="Calibri" w:cs="Times New Roman"/>
                <w:lang w:eastAsia="en-GB"/>
              </w:rPr>
              <w:t>first document aim</w:t>
            </w:r>
            <w:r w:rsidR="00614B36" w:rsidRPr="00612500">
              <w:rPr>
                <w:rFonts w:ascii="Calibri" w:eastAsia="Times New Roman" w:hAnsi="Calibri" w:cs="Times New Roman"/>
                <w:lang w:eastAsia="en-GB"/>
              </w:rPr>
              <w:t>s</w:t>
            </w:r>
            <w:r w:rsidRPr="00612500">
              <w:rPr>
                <w:rFonts w:ascii="Calibri" w:eastAsia="Times New Roman" w:hAnsi="Calibri" w:cs="Times New Roman"/>
                <w:lang w:eastAsia="en-GB"/>
              </w:rPr>
              <w:t xml:space="preserve"> at reducing the emission of greenhouse gases in Flanders by 15% over the period 2005-2020 (indicative objective). That policy plan reaches beyond the borders of individual domains and each sector should finally take its responsibility and present measures to contribute to the intended objective. The </w:t>
            </w:r>
            <w:r w:rsidR="005C15FC" w:rsidRPr="00612500">
              <w:rPr>
                <w:rFonts w:ascii="Calibri" w:eastAsia="Times New Roman" w:hAnsi="Calibri" w:cs="Times New Roman"/>
                <w:lang w:eastAsia="en-GB"/>
              </w:rPr>
              <w:t xml:space="preserve">second </w:t>
            </w:r>
            <w:r w:rsidRPr="00612500">
              <w:rPr>
                <w:rFonts w:ascii="Calibri" w:eastAsia="Times New Roman" w:hAnsi="Calibri" w:cs="Times New Roman"/>
                <w:lang w:eastAsia="en-GB"/>
              </w:rPr>
              <w:t xml:space="preserve">document proposes policy and measures for each non-ETS sector and assesses their impact on greenhouse gas emissions. If </w:t>
            </w:r>
            <w:r w:rsidR="00300247" w:rsidRPr="00612500">
              <w:rPr>
                <w:rFonts w:ascii="Calibri" w:eastAsia="Times New Roman" w:hAnsi="Calibri" w:cs="Times New Roman"/>
                <w:lang w:eastAsia="en-GB"/>
              </w:rPr>
              <w:t xml:space="preserve">in Flanders </w:t>
            </w:r>
            <w:r w:rsidRPr="00612500">
              <w:rPr>
                <w:rFonts w:ascii="Calibri" w:eastAsia="Times New Roman" w:hAnsi="Calibri" w:cs="Times New Roman"/>
                <w:lang w:eastAsia="en-GB"/>
              </w:rPr>
              <w:t xml:space="preserve">a </w:t>
            </w:r>
            <w:r w:rsidR="00300247" w:rsidRPr="00612500">
              <w:rPr>
                <w:rFonts w:ascii="Calibri" w:eastAsia="Times New Roman" w:hAnsi="Calibri" w:cs="Times New Roman"/>
                <w:lang w:eastAsia="en-GB"/>
              </w:rPr>
              <w:t xml:space="preserve">difference persisted </w:t>
            </w:r>
            <w:r w:rsidRPr="00612500">
              <w:rPr>
                <w:rFonts w:ascii="Calibri" w:eastAsia="Times New Roman" w:hAnsi="Calibri" w:cs="Times New Roman"/>
                <w:lang w:eastAsia="en-GB"/>
              </w:rPr>
              <w:t xml:space="preserve">between the expected emission reductions and the indicative objective of -15%, the flexibility mechanisms will be employed.  </w:t>
            </w:r>
          </w:p>
        </w:tc>
      </w:tr>
      <w:tr w:rsidR="00F0013D" w:rsidRPr="00612500" w:rsidTr="00035EA4">
        <w:trPr>
          <w:cantSplit/>
        </w:trPr>
        <w:tc>
          <w:tcPr>
            <w:cnfStyle w:val="001000000000"/>
            <w:tcW w:w="0" w:type="auto"/>
          </w:tcPr>
          <w:p w:rsidR="00F0013D" w:rsidRPr="00612500" w:rsidRDefault="00F0013D" w:rsidP="00035EA4">
            <w:pPr>
              <w:jc w:val="left"/>
              <w:rPr>
                <w:rFonts w:ascii="Calibri" w:eastAsia="Times New Roman" w:hAnsi="Calibri" w:cs="Times New Roman"/>
                <w:lang w:eastAsia="en-GB"/>
              </w:rPr>
            </w:pPr>
            <w:r w:rsidRPr="00612500">
              <w:rPr>
                <w:rFonts w:ascii="Calibri" w:eastAsia="Times New Roman" w:hAnsi="Calibri" w:cs="Times New Roman"/>
                <w:lang w:eastAsia="en-GB"/>
              </w:rPr>
              <w:t>Wallonia Climate Decree (expected)</w:t>
            </w:r>
          </w:p>
        </w:tc>
        <w:tc>
          <w:tcPr>
            <w:tcW w:w="0" w:type="auto"/>
          </w:tcPr>
          <w:p w:rsidR="00F0013D" w:rsidRPr="00612500" w:rsidRDefault="00F0013D" w:rsidP="007F1AF7">
            <w:pPr>
              <w:jc w:val="left"/>
              <w:cnfStyle w:val="000000000000"/>
              <w:rPr>
                <w:rFonts w:ascii="Calibri" w:eastAsia="Times New Roman" w:hAnsi="Calibri" w:cs="Times New Roman"/>
                <w:lang w:eastAsia="en-GB"/>
              </w:rPr>
            </w:pPr>
            <w:r w:rsidRPr="00612500">
              <w:rPr>
                <w:rFonts w:ascii="Calibri" w:eastAsia="Times New Roman" w:hAnsi="Calibri" w:cs="Times New Roman"/>
                <w:lang w:eastAsia="en-GB"/>
              </w:rPr>
              <w:t xml:space="preserve">Wallonia is preparing a Climate Decree which should enable it to meet its commitments to cut total greenhouse gas emission (ETS and non-ETS) by 30% by 2020 and by 80 to 95% by 2050, compared to the 1990 level. </w:t>
            </w:r>
          </w:p>
        </w:tc>
      </w:tr>
      <w:tr w:rsidR="00F0013D" w:rsidRPr="00612500" w:rsidTr="00035EA4">
        <w:trPr>
          <w:cantSplit/>
        </w:trPr>
        <w:tc>
          <w:tcPr>
            <w:cnfStyle w:val="001000000000"/>
            <w:tcW w:w="0" w:type="auto"/>
          </w:tcPr>
          <w:p w:rsidR="00F0013D" w:rsidRPr="00612500" w:rsidRDefault="00F0013D" w:rsidP="00035EA4">
            <w:pPr>
              <w:jc w:val="left"/>
              <w:rPr>
                <w:rFonts w:ascii="Calibri" w:eastAsia="Times New Roman" w:hAnsi="Calibri" w:cs="Times New Roman"/>
                <w:lang w:eastAsia="en-GB"/>
              </w:rPr>
            </w:pPr>
            <w:r w:rsidRPr="00612500">
              <w:rPr>
                <w:rFonts w:ascii="Calibri" w:eastAsia="Times New Roman" w:hAnsi="Calibri" w:cs="Times New Roman"/>
                <w:lang w:eastAsia="en-GB"/>
              </w:rPr>
              <w:t>Wall</w:t>
            </w:r>
            <w:r w:rsidR="00A95EB0" w:rsidRPr="00612500">
              <w:rPr>
                <w:rFonts w:ascii="Calibri" w:eastAsia="Times New Roman" w:hAnsi="Calibri" w:cs="Times New Roman"/>
                <w:lang w:eastAsia="en-GB"/>
              </w:rPr>
              <w:t>onia Climate-Air plan for 2013 (</w:t>
            </w:r>
            <w:r w:rsidRPr="00612500">
              <w:rPr>
                <w:rFonts w:ascii="Calibri" w:eastAsia="Times New Roman" w:hAnsi="Calibri" w:cs="Times New Roman"/>
                <w:lang w:eastAsia="en-GB"/>
              </w:rPr>
              <w:t>Expected</w:t>
            </w:r>
            <w:r w:rsidR="00A95EB0" w:rsidRPr="00612500">
              <w:rPr>
                <w:rFonts w:ascii="Calibri" w:eastAsia="Times New Roman" w:hAnsi="Calibri" w:cs="Times New Roman"/>
                <w:lang w:eastAsia="en-GB"/>
              </w:rPr>
              <w:t>)</w:t>
            </w:r>
          </w:p>
        </w:tc>
        <w:tc>
          <w:tcPr>
            <w:tcW w:w="0" w:type="auto"/>
          </w:tcPr>
          <w:p w:rsidR="00F0013D" w:rsidRPr="00612500" w:rsidRDefault="00F0013D" w:rsidP="00035EA4">
            <w:pPr>
              <w:jc w:val="left"/>
              <w:cnfStyle w:val="000000000000"/>
              <w:rPr>
                <w:rFonts w:ascii="Calibri" w:eastAsia="Times New Roman" w:hAnsi="Calibri" w:cs="Times New Roman"/>
                <w:lang w:eastAsia="en-GB"/>
              </w:rPr>
            </w:pPr>
          </w:p>
        </w:tc>
      </w:tr>
      <w:tr w:rsidR="00F0013D" w:rsidRPr="00612500" w:rsidTr="00035EA4">
        <w:trPr>
          <w:cantSplit/>
          <w:trHeight w:val="70"/>
        </w:trPr>
        <w:tc>
          <w:tcPr>
            <w:cnfStyle w:val="001000000000"/>
            <w:tcW w:w="0" w:type="auto"/>
          </w:tcPr>
          <w:p w:rsidR="00F0013D" w:rsidRPr="00612500" w:rsidRDefault="00F0013D" w:rsidP="00035EA4">
            <w:pPr>
              <w:jc w:val="left"/>
              <w:rPr>
                <w:rFonts w:ascii="Calibri" w:eastAsia="Times New Roman" w:hAnsi="Calibri" w:cs="Times New Roman"/>
                <w:lang w:eastAsia="en-GB"/>
              </w:rPr>
            </w:pPr>
            <w:r w:rsidRPr="00612500">
              <w:rPr>
                <w:rFonts w:ascii="Calibri" w:eastAsia="Times New Roman" w:hAnsi="Calibri" w:cs="Times New Roman"/>
                <w:lang w:eastAsia="en-GB"/>
              </w:rPr>
              <w:t>Regional Sustainable Development Plan for Brussels-capital region</w:t>
            </w:r>
          </w:p>
          <w:p w:rsidR="00F0013D" w:rsidRPr="00612500" w:rsidRDefault="00F0013D" w:rsidP="00035EA4">
            <w:pPr>
              <w:jc w:val="left"/>
              <w:rPr>
                <w:rFonts w:ascii="Calibri" w:eastAsia="Times New Roman" w:hAnsi="Calibri" w:cs="Times New Roman"/>
                <w:lang w:eastAsia="en-GB"/>
              </w:rPr>
            </w:pPr>
            <w:r w:rsidRPr="00612500">
              <w:rPr>
                <w:rFonts w:ascii="Calibri" w:eastAsia="Times New Roman" w:hAnsi="Calibri" w:cs="Times New Roman"/>
                <w:lang w:eastAsia="en-GB"/>
              </w:rPr>
              <w:t xml:space="preserve">(expected)  </w:t>
            </w:r>
          </w:p>
        </w:tc>
        <w:tc>
          <w:tcPr>
            <w:tcW w:w="0" w:type="auto"/>
          </w:tcPr>
          <w:p w:rsidR="00F0013D" w:rsidRPr="00612500" w:rsidRDefault="00F0013D" w:rsidP="00035EA4">
            <w:pPr>
              <w:jc w:val="left"/>
              <w:cnfStyle w:val="000000000000"/>
              <w:rPr>
                <w:rFonts w:ascii="Calibri" w:eastAsia="Times New Roman" w:hAnsi="Calibri" w:cs="Times New Roman"/>
                <w:lang w:eastAsia="en-GB"/>
              </w:rPr>
            </w:pPr>
          </w:p>
        </w:tc>
      </w:tr>
    </w:tbl>
    <w:p w:rsidR="008E0FDA" w:rsidRPr="00612500" w:rsidRDefault="008E0FDA" w:rsidP="001F4276">
      <w:pPr>
        <w:pStyle w:val="Titolo2"/>
        <w:rPr>
          <w:rFonts w:ascii="Calibri" w:eastAsiaTheme="majorEastAsia" w:hAnsi="Calibri"/>
        </w:rPr>
      </w:pPr>
    </w:p>
    <w:p w:rsidR="008E0FDA" w:rsidRPr="00612500" w:rsidRDefault="008E0FDA" w:rsidP="001F4276">
      <w:pPr>
        <w:pStyle w:val="Titolo2"/>
        <w:rPr>
          <w:rFonts w:ascii="Calibri" w:eastAsiaTheme="majorEastAsia" w:hAnsi="Calibri"/>
        </w:rPr>
      </w:pPr>
    </w:p>
    <w:p w:rsidR="008E0FDA" w:rsidRPr="00612500" w:rsidRDefault="008E0FDA" w:rsidP="001F4276">
      <w:pPr>
        <w:pStyle w:val="Titolo2"/>
        <w:rPr>
          <w:rFonts w:ascii="Calibri" w:eastAsiaTheme="majorEastAsia" w:hAnsi="Calibri"/>
        </w:rPr>
      </w:pPr>
    </w:p>
    <w:p w:rsidR="008E0FDA" w:rsidRPr="00612500" w:rsidRDefault="008E0FDA" w:rsidP="001F4276">
      <w:pPr>
        <w:pStyle w:val="Titolo2"/>
        <w:rPr>
          <w:rFonts w:ascii="Calibri" w:eastAsiaTheme="majorEastAsia" w:hAnsi="Calibri"/>
        </w:rPr>
      </w:pPr>
    </w:p>
    <w:p w:rsidR="008E0FDA" w:rsidRPr="00612500" w:rsidRDefault="008E0FDA" w:rsidP="001F4276">
      <w:pPr>
        <w:pStyle w:val="Titolo2"/>
        <w:rPr>
          <w:rFonts w:ascii="Calibri" w:eastAsiaTheme="majorEastAsia" w:hAnsi="Calibri"/>
        </w:rPr>
      </w:pPr>
    </w:p>
    <w:p w:rsidR="008E0FDA" w:rsidRPr="00612500" w:rsidRDefault="008E0FDA" w:rsidP="001F4276">
      <w:pPr>
        <w:pStyle w:val="Titolo2"/>
        <w:rPr>
          <w:rFonts w:ascii="Calibri" w:eastAsiaTheme="majorEastAsia" w:hAnsi="Calibri"/>
        </w:rPr>
      </w:pPr>
    </w:p>
    <w:p w:rsidR="008E0FDA" w:rsidRPr="00612500" w:rsidRDefault="008E0FDA" w:rsidP="001F4276">
      <w:pPr>
        <w:pStyle w:val="Titolo2"/>
        <w:rPr>
          <w:rFonts w:ascii="Calibri" w:eastAsiaTheme="majorEastAsia" w:hAnsi="Calibri"/>
        </w:rPr>
      </w:pPr>
    </w:p>
    <w:p w:rsidR="001B31F5" w:rsidRPr="00612500" w:rsidRDefault="00EB50A9" w:rsidP="001F4276">
      <w:pPr>
        <w:pStyle w:val="Titolo2"/>
        <w:rPr>
          <w:rFonts w:ascii="Calibri" w:eastAsiaTheme="majorEastAsia" w:hAnsi="Calibri"/>
        </w:rPr>
      </w:pPr>
      <w:r w:rsidRPr="00612500">
        <w:rPr>
          <w:rFonts w:ascii="Calibri" w:eastAsiaTheme="majorEastAsia" w:hAnsi="Calibri"/>
        </w:rPr>
        <w:t>Bioenergy</w:t>
      </w:r>
    </w:p>
    <w:tbl>
      <w:tblPr>
        <w:tblStyle w:val="Sfondomedio1-Colore2"/>
        <w:tblpPr w:leftFromText="180" w:rightFromText="180" w:vertAnchor="text" w:horzAnchor="margin" w:tblpY="345"/>
        <w:tblW w:w="0" w:type="auto"/>
        <w:tblLook w:val="06A0"/>
      </w:tblPr>
      <w:tblGrid>
        <w:gridCol w:w="2589"/>
        <w:gridCol w:w="3628"/>
        <w:gridCol w:w="3752"/>
        <w:gridCol w:w="4205"/>
      </w:tblGrid>
      <w:tr w:rsidR="004F3229" w:rsidRPr="00612500" w:rsidTr="001F4276">
        <w:trPr>
          <w:cnfStyle w:val="100000000000"/>
          <w:cantSplit/>
        </w:trPr>
        <w:tc>
          <w:tcPr>
            <w:cnfStyle w:val="001000000000"/>
            <w:tcW w:w="0" w:type="auto"/>
          </w:tcPr>
          <w:p w:rsidR="00EB50A9" w:rsidRPr="00612500" w:rsidRDefault="00EB50A9" w:rsidP="001F4276">
            <w:pPr>
              <w:pStyle w:val="Nessunaspaziatura"/>
              <w:jc w:val="left"/>
              <w:rPr>
                <w:rFonts w:ascii="Calibri" w:hAnsi="Calibri"/>
                <w:b w:val="0"/>
              </w:rPr>
            </w:pPr>
            <w:r w:rsidRPr="00612500">
              <w:rPr>
                <w:rFonts w:ascii="Calibri" w:hAnsi="Calibri"/>
              </w:rPr>
              <w:lastRenderedPageBreak/>
              <w:t xml:space="preserve">Policy </w:t>
            </w:r>
          </w:p>
        </w:tc>
        <w:tc>
          <w:tcPr>
            <w:tcW w:w="0" w:type="auto"/>
          </w:tcPr>
          <w:p w:rsidR="00EB50A9" w:rsidRPr="00612500" w:rsidRDefault="00EB50A9" w:rsidP="001F4276">
            <w:pPr>
              <w:pStyle w:val="Nessunaspaziatura"/>
              <w:jc w:val="left"/>
              <w:cnfStyle w:val="100000000000"/>
              <w:rPr>
                <w:rFonts w:ascii="Calibri" w:hAnsi="Calibri"/>
                <w:b w:val="0"/>
              </w:rPr>
            </w:pPr>
            <w:r w:rsidRPr="00612500">
              <w:rPr>
                <w:rFonts w:ascii="Calibri" w:hAnsi="Calibri"/>
              </w:rPr>
              <w:t>Ambitions</w:t>
            </w:r>
          </w:p>
        </w:tc>
        <w:tc>
          <w:tcPr>
            <w:tcW w:w="0" w:type="auto"/>
          </w:tcPr>
          <w:p w:rsidR="00EB50A9" w:rsidRPr="00612500" w:rsidRDefault="00EB50A9" w:rsidP="001F4276">
            <w:pPr>
              <w:pStyle w:val="Nessunaspaziatura"/>
              <w:jc w:val="left"/>
              <w:cnfStyle w:val="100000000000"/>
              <w:rPr>
                <w:rFonts w:ascii="Calibri" w:hAnsi="Calibri"/>
                <w:b w:val="0"/>
              </w:rPr>
            </w:pPr>
            <w:r w:rsidRPr="00612500">
              <w:rPr>
                <w:rFonts w:ascii="Calibri" w:hAnsi="Calibri"/>
              </w:rPr>
              <w:t>Policy Measures</w:t>
            </w:r>
          </w:p>
        </w:tc>
        <w:tc>
          <w:tcPr>
            <w:tcW w:w="0" w:type="auto"/>
          </w:tcPr>
          <w:p w:rsidR="00EB50A9" w:rsidRPr="00612500" w:rsidRDefault="00EB50A9" w:rsidP="001F4276">
            <w:pPr>
              <w:pStyle w:val="Nessunaspaziatura"/>
              <w:jc w:val="left"/>
              <w:cnfStyle w:val="100000000000"/>
              <w:rPr>
                <w:rFonts w:ascii="Calibri" w:hAnsi="Calibri"/>
                <w:b w:val="0"/>
              </w:rPr>
            </w:pPr>
            <w:r w:rsidRPr="00612500">
              <w:rPr>
                <w:rFonts w:ascii="Calibri" w:hAnsi="Calibri"/>
              </w:rPr>
              <w:t>Financial Incentives</w:t>
            </w:r>
          </w:p>
        </w:tc>
      </w:tr>
      <w:tr w:rsidR="004F3229" w:rsidRPr="00612500" w:rsidTr="001F4276">
        <w:trPr>
          <w:cantSplit/>
        </w:trPr>
        <w:tc>
          <w:tcPr>
            <w:cnfStyle w:val="001000000000"/>
            <w:tcW w:w="0" w:type="auto"/>
          </w:tcPr>
          <w:p w:rsidR="00EB50A9" w:rsidRPr="00612500" w:rsidRDefault="00307AFD" w:rsidP="001F4276">
            <w:pPr>
              <w:pStyle w:val="Nessunaspaziatura"/>
              <w:jc w:val="left"/>
              <w:rPr>
                <w:rFonts w:ascii="Calibri" w:hAnsi="Calibri"/>
              </w:rPr>
            </w:pPr>
            <w:r w:rsidRPr="00612500">
              <w:rPr>
                <w:rFonts w:ascii="Calibri" w:hAnsi="Calibri"/>
              </w:rPr>
              <w:t xml:space="preserve">Walloon Electricity Decree of 2001  </w:t>
            </w:r>
            <w:r w:rsidR="009509BF" w:rsidRPr="00612500">
              <w:rPr>
                <w:rStyle w:val="Rimandonotaapidipagina"/>
                <w:rFonts w:ascii="Calibri" w:hAnsi="Calibri"/>
              </w:rPr>
              <w:footnoteReference w:id="4"/>
            </w:r>
            <w:r w:rsidR="00067DE9" w:rsidRPr="00612500">
              <w:rPr>
                <w:rFonts w:ascii="Calibri" w:hAnsi="Calibri"/>
              </w:rPr>
              <w:t>-</w:t>
            </w:r>
            <w:r w:rsidR="007F1AF7" w:rsidRPr="00612500">
              <w:rPr>
                <w:rFonts w:ascii="Calibri" w:hAnsi="Calibri"/>
              </w:rPr>
              <w:t xml:space="preserve"> revised in 2006 (</w:t>
            </w:r>
            <w:r w:rsidR="00067DE9" w:rsidRPr="00612500">
              <w:rPr>
                <w:rFonts w:ascii="Calibri" w:hAnsi="Calibri"/>
              </w:rPr>
              <w:t xml:space="preserve">will be revised </w:t>
            </w:r>
            <w:r w:rsidR="007F1AF7" w:rsidRPr="00612500">
              <w:rPr>
                <w:rFonts w:ascii="Calibri" w:hAnsi="Calibri"/>
              </w:rPr>
              <w:t xml:space="preserve">again </w:t>
            </w:r>
            <w:r w:rsidR="00067DE9" w:rsidRPr="00612500">
              <w:rPr>
                <w:rFonts w:ascii="Calibri" w:hAnsi="Calibri"/>
              </w:rPr>
              <w:t xml:space="preserve">in </w:t>
            </w:r>
            <w:r w:rsidR="00614B36" w:rsidRPr="00612500">
              <w:rPr>
                <w:rFonts w:ascii="Calibri" w:hAnsi="Calibri"/>
              </w:rPr>
              <w:t>M</w:t>
            </w:r>
            <w:r w:rsidR="00067DE9" w:rsidRPr="00612500">
              <w:rPr>
                <w:rFonts w:ascii="Calibri" w:hAnsi="Calibri"/>
              </w:rPr>
              <w:t>arch 2014</w:t>
            </w:r>
            <w:r w:rsidR="007F1AF7" w:rsidRPr="00612500">
              <w:rPr>
                <w:rFonts w:ascii="Calibri" w:hAnsi="Calibri"/>
              </w:rPr>
              <w:t>)</w:t>
            </w:r>
          </w:p>
        </w:tc>
        <w:tc>
          <w:tcPr>
            <w:tcW w:w="0" w:type="auto"/>
          </w:tcPr>
          <w:p w:rsidR="00EB50A9" w:rsidRPr="00612500" w:rsidRDefault="001C19C2" w:rsidP="001F4276">
            <w:pPr>
              <w:pStyle w:val="Nessunaspaziatura"/>
              <w:jc w:val="left"/>
              <w:cnfStyle w:val="000000000000"/>
              <w:rPr>
                <w:rFonts w:ascii="Calibri" w:hAnsi="Calibri"/>
              </w:rPr>
            </w:pPr>
            <w:r w:rsidRPr="00612500">
              <w:rPr>
                <w:rFonts w:ascii="Calibri" w:hAnsi="Calibri"/>
              </w:rPr>
              <w:t>Measures for</w:t>
            </w:r>
            <w:r w:rsidR="00067DE9" w:rsidRPr="00612500">
              <w:rPr>
                <w:rFonts w:ascii="Calibri" w:hAnsi="Calibri"/>
              </w:rPr>
              <w:t xml:space="preserve"> reaching 8 TWh of renewable electricity in 2020</w:t>
            </w:r>
            <w:r w:rsidRPr="00612500">
              <w:rPr>
                <w:rFonts w:ascii="Calibri" w:hAnsi="Calibri"/>
              </w:rPr>
              <w:t xml:space="preserve"> in Wallonia region.</w:t>
            </w:r>
          </w:p>
          <w:p w:rsidR="00FA606A" w:rsidRPr="00612500" w:rsidRDefault="00FA606A" w:rsidP="007F1AF7">
            <w:pPr>
              <w:pStyle w:val="Nessunaspaziatura"/>
              <w:jc w:val="left"/>
              <w:cnfStyle w:val="000000000000"/>
              <w:rPr>
                <w:rFonts w:ascii="Calibri" w:hAnsi="Calibri"/>
              </w:rPr>
            </w:pPr>
          </w:p>
        </w:tc>
        <w:tc>
          <w:tcPr>
            <w:tcW w:w="0" w:type="auto"/>
          </w:tcPr>
          <w:p w:rsidR="00067DE9" w:rsidRPr="00612500" w:rsidRDefault="00614B36" w:rsidP="001F4276">
            <w:pPr>
              <w:pStyle w:val="Nessunaspaziatura"/>
              <w:jc w:val="left"/>
              <w:cnfStyle w:val="000000000000"/>
              <w:rPr>
                <w:rFonts w:ascii="Calibri" w:hAnsi="Calibri"/>
              </w:rPr>
            </w:pPr>
            <w:r w:rsidRPr="00612500">
              <w:rPr>
                <w:rFonts w:ascii="Calibri" w:hAnsi="Calibri"/>
              </w:rPr>
              <w:t>N</w:t>
            </w:r>
            <w:r w:rsidR="004F3229" w:rsidRPr="00612500">
              <w:rPr>
                <w:rFonts w:ascii="Calibri" w:hAnsi="Calibri"/>
              </w:rPr>
              <w:t>ew amendments  underway</w:t>
            </w:r>
            <w:r w:rsidRPr="00612500">
              <w:rPr>
                <w:rFonts w:ascii="Calibri" w:hAnsi="Calibri"/>
              </w:rPr>
              <w:t xml:space="preserve"> are</w:t>
            </w:r>
            <w:r w:rsidR="004F3229" w:rsidRPr="00612500">
              <w:rPr>
                <w:rFonts w:ascii="Calibri" w:hAnsi="Calibri"/>
              </w:rPr>
              <w:t xml:space="preserve"> a</w:t>
            </w:r>
            <w:r w:rsidR="007F1AF7" w:rsidRPr="00612500">
              <w:rPr>
                <w:rFonts w:ascii="Calibri" w:hAnsi="Calibri"/>
              </w:rPr>
              <w:t>new Green C</w:t>
            </w:r>
            <w:r w:rsidR="00067DE9" w:rsidRPr="00612500">
              <w:rPr>
                <w:rFonts w:ascii="Calibri" w:hAnsi="Calibri"/>
              </w:rPr>
              <w:t>ertificates</w:t>
            </w:r>
            <w:r w:rsidR="007F1AF7" w:rsidRPr="00612500">
              <w:rPr>
                <w:rFonts w:ascii="Calibri" w:hAnsi="Calibri"/>
              </w:rPr>
              <w:t xml:space="preserve"> (GC)</w:t>
            </w:r>
            <w:r w:rsidR="00067DE9" w:rsidRPr="00612500">
              <w:rPr>
                <w:rFonts w:ascii="Calibri" w:hAnsi="Calibri"/>
              </w:rPr>
              <w:t xml:space="preserve"> delivery method,</w:t>
            </w:r>
            <w:r w:rsidR="007F1AF7" w:rsidRPr="00612500">
              <w:rPr>
                <w:rFonts w:ascii="Calibri" w:hAnsi="Calibri"/>
              </w:rPr>
              <w:t xml:space="preserve"> and</w:t>
            </w:r>
            <w:r w:rsidR="00067DE9" w:rsidRPr="00612500">
              <w:rPr>
                <w:rFonts w:ascii="Calibri" w:hAnsi="Calibri"/>
              </w:rPr>
              <w:t xml:space="preserve"> new biomass strategy</w:t>
            </w:r>
            <w:r w:rsidR="007F1AF7" w:rsidRPr="00612500">
              <w:rPr>
                <w:rFonts w:ascii="Calibri" w:hAnsi="Calibri"/>
              </w:rPr>
              <w:t>.</w:t>
            </w:r>
          </w:p>
          <w:p w:rsidR="00FA606A" w:rsidRPr="00612500" w:rsidRDefault="00FA606A" w:rsidP="004F3229">
            <w:pPr>
              <w:pStyle w:val="Nessunaspaziatura"/>
              <w:jc w:val="left"/>
              <w:cnfStyle w:val="000000000000"/>
              <w:rPr>
                <w:rFonts w:ascii="Calibri" w:hAnsi="Calibri"/>
              </w:rPr>
            </w:pPr>
            <w:r w:rsidRPr="00612500">
              <w:rPr>
                <w:rFonts w:ascii="Calibri" w:hAnsi="Calibri"/>
              </w:rPr>
              <w:t>Electr</w:t>
            </w:r>
            <w:r w:rsidR="007F1AF7" w:rsidRPr="00612500">
              <w:rPr>
                <w:rFonts w:ascii="Calibri" w:hAnsi="Calibri"/>
              </w:rPr>
              <w:t>icity suppliers have to deliver</w:t>
            </w:r>
            <w:r w:rsidRPr="00612500">
              <w:rPr>
                <w:rFonts w:ascii="Calibri" w:hAnsi="Calibri"/>
              </w:rPr>
              <w:t xml:space="preserve"> a quota of those GC </w:t>
            </w:r>
            <w:r w:rsidR="004407B3" w:rsidRPr="00612500">
              <w:rPr>
                <w:rFonts w:ascii="Calibri" w:hAnsi="Calibri"/>
              </w:rPr>
              <w:t>otherwise</w:t>
            </w:r>
            <w:r w:rsidR="007F1AF7" w:rsidRPr="00612500">
              <w:rPr>
                <w:rFonts w:ascii="Calibri" w:hAnsi="Calibri"/>
              </w:rPr>
              <w:t xml:space="preserve"> they will pay a fine (100€</w:t>
            </w:r>
            <w:r w:rsidRPr="00612500">
              <w:rPr>
                <w:rFonts w:ascii="Calibri" w:hAnsi="Calibri"/>
              </w:rPr>
              <w:t xml:space="preserve">). TSO have the obligation of buyback </w:t>
            </w:r>
            <w:r w:rsidR="004407B3" w:rsidRPr="00612500">
              <w:rPr>
                <w:rFonts w:ascii="Calibri" w:hAnsi="Calibri"/>
              </w:rPr>
              <w:t>of</w:t>
            </w:r>
            <w:r w:rsidR="004F3229" w:rsidRPr="00612500">
              <w:rPr>
                <w:rFonts w:ascii="Calibri" w:hAnsi="Calibri"/>
              </w:rPr>
              <w:t xml:space="preserve">the </w:t>
            </w:r>
            <w:r w:rsidRPr="00612500">
              <w:rPr>
                <w:rFonts w:ascii="Calibri" w:hAnsi="Calibri"/>
              </w:rPr>
              <w:t>GC in excess (possible int</w:t>
            </w:r>
            <w:r w:rsidR="004F3229" w:rsidRPr="00612500">
              <w:rPr>
                <w:rFonts w:ascii="Calibri" w:hAnsi="Calibri"/>
              </w:rPr>
              <w:t>egration with</w:t>
            </w:r>
            <w:r w:rsidR="004407B3" w:rsidRPr="00612500">
              <w:rPr>
                <w:rFonts w:ascii="Calibri" w:hAnsi="Calibri"/>
              </w:rPr>
              <w:t>tariff</w:t>
            </w:r>
            <w:r w:rsidRPr="00612500">
              <w:rPr>
                <w:rFonts w:ascii="Calibri" w:hAnsi="Calibri"/>
              </w:rPr>
              <w:t>).Industrial customers are exonerated of a part of the quota and extra cost of TSO</w:t>
            </w:r>
            <w:r w:rsidR="004F3229" w:rsidRPr="00612500">
              <w:rPr>
                <w:rFonts w:ascii="Calibri" w:hAnsi="Calibri"/>
              </w:rPr>
              <w:t>.</w:t>
            </w:r>
          </w:p>
        </w:tc>
        <w:tc>
          <w:tcPr>
            <w:tcW w:w="0" w:type="auto"/>
          </w:tcPr>
          <w:p w:rsidR="00067DE9" w:rsidRPr="00612500" w:rsidRDefault="004F3229" w:rsidP="001F4276">
            <w:pPr>
              <w:pStyle w:val="Nessunaspaziatura"/>
              <w:jc w:val="left"/>
              <w:cnfStyle w:val="000000000000"/>
              <w:rPr>
                <w:rFonts w:ascii="Calibri" w:hAnsi="Calibri"/>
              </w:rPr>
            </w:pPr>
            <w:r w:rsidRPr="00612500">
              <w:rPr>
                <w:rFonts w:ascii="Calibri" w:hAnsi="Calibri"/>
              </w:rPr>
              <w:t>A</w:t>
            </w:r>
            <w:r w:rsidR="00067DE9" w:rsidRPr="00612500">
              <w:rPr>
                <w:rFonts w:ascii="Calibri" w:hAnsi="Calibri"/>
              </w:rPr>
              <w:t xml:space="preserve"> system of Green Certificates will be delivered to g</w:t>
            </w:r>
            <w:r w:rsidR="00FA606A" w:rsidRPr="00612500">
              <w:rPr>
                <w:rFonts w:ascii="Calibri" w:hAnsi="Calibri"/>
              </w:rPr>
              <w:t xml:space="preserve">reen producer in function of </w:t>
            </w:r>
            <w:r w:rsidR="004407B3" w:rsidRPr="00612500">
              <w:rPr>
                <w:rFonts w:ascii="Calibri" w:hAnsi="Calibri"/>
              </w:rPr>
              <w:t>cost</w:t>
            </w:r>
            <w:r w:rsidR="00067DE9" w:rsidRPr="00612500">
              <w:rPr>
                <w:rFonts w:ascii="Calibri" w:hAnsi="Calibri"/>
              </w:rPr>
              <w:t xml:space="preserve"> of technology, CO2 economy, electricity FWD. </w:t>
            </w:r>
            <w:r w:rsidR="00614B36" w:rsidRPr="00612500">
              <w:rPr>
                <w:rFonts w:ascii="Calibri" w:hAnsi="Calibri"/>
              </w:rPr>
              <w:t>The c</w:t>
            </w:r>
            <w:r w:rsidR="00FA606A" w:rsidRPr="00612500">
              <w:rPr>
                <w:rFonts w:ascii="Calibri" w:hAnsi="Calibri"/>
              </w:rPr>
              <w:t>ost of the system is charge</w:t>
            </w:r>
            <w:r w:rsidR="00614B36" w:rsidRPr="00612500">
              <w:rPr>
                <w:rFonts w:ascii="Calibri" w:hAnsi="Calibri"/>
              </w:rPr>
              <w:t>dto</w:t>
            </w:r>
            <w:r w:rsidR="00FA606A" w:rsidRPr="00612500">
              <w:rPr>
                <w:rFonts w:ascii="Calibri" w:hAnsi="Calibri"/>
              </w:rPr>
              <w:t xml:space="preserve"> end users</w:t>
            </w:r>
          </w:p>
        </w:tc>
      </w:tr>
      <w:tr w:rsidR="004F3229" w:rsidRPr="00612500" w:rsidTr="001F4276">
        <w:trPr>
          <w:cantSplit/>
        </w:trPr>
        <w:tc>
          <w:tcPr>
            <w:cnfStyle w:val="001000000000"/>
            <w:tcW w:w="0" w:type="auto"/>
          </w:tcPr>
          <w:p w:rsidR="00307AFD" w:rsidRPr="00612500" w:rsidRDefault="00307AFD" w:rsidP="001F4276">
            <w:pPr>
              <w:pStyle w:val="Nessunaspaziatura"/>
              <w:jc w:val="left"/>
              <w:rPr>
                <w:rFonts w:ascii="Calibri" w:hAnsi="Calibri"/>
              </w:rPr>
            </w:pPr>
            <w:r w:rsidRPr="00612500">
              <w:rPr>
                <w:rFonts w:ascii="Calibri" w:hAnsi="Calibri"/>
              </w:rPr>
              <w:t>Royal Decree of 16th July 2002</w:t>
            </w:r>
          </w:p>
        </w:tc>
        <w:tc>
          <w:tcPr>
            <w:tcW w:w="0" w:type="auto"/>
          </w:tcPr>
          <w:p w:rsidR="00307AFD" w:rsidRPr="00612500" w:rsidRDefault="003478A7" w:rsidP="001F4276">
            <w:pPr>
              <w:pStyle w:val="Nessunaspaziatura"/>
              <w:jc w:val="left"/>
              <w:cnfStyle w:val="000000000000"/>
              <w:rPr>
                <w:rFonts w:ascii="Calibri" w:hAnsi="Calibri"/>
              </w:rPr>
            </w:pPr>
            <w:r w:rsidRPr="00612500">
              <w:rPr>
                <w:rFonts w:ascii="Calibri" w:hAnsi="Calibri"/>
              </w:rPr>
              <w:t>Federal e</w:t>
            </w:r>
            <w:r w:rsidR="00307AFD" w:rsidRPr="00612500">
              <w:rPr>
                <w:rFonts w:ascii="Calibri" w:hAnsi="Calibri"/>
              </w:rPr>
              <w:t>stablishment of mechanisms to promote electricity generated from renewable energy sources</w:t>
            </w:r>
          </w:p>
        </w:tc>
        <w:tc>
          <w:tcPr>
            <w:tcW w:w="0" w:type="auto"/>
          </w:tcPr>
          <w:p w:rsidR="00307AFD" w:rsidRPr="00612500" w:rsidRDefault="000B2187" w:rsidP="001F4276">
            <w:pPr>
              <w:pStyle w:val="Nessunaspaziatura"/>
              <w:jc w:val="left"/>
              <w:cnfStyle w:val="000000000000"/>
              <w:rPr>
                <w:rFonts w:ascii="Calibri" w:hAnsi="Calibri" w:cs="Garamond"/>
              </w:rPr>
            </w:pPr>
            <w:r w:rsidRPr="00612500">
              <w:rPr>
                <w:rFonts w:ascii="Calibri" w:hAnsi="Calibri" w:cs="Garamond"/>
              </w:rPr>
              <w:t>Owners of installations for the production of electricity from renewable energy sources offshore will be granted green certificates by the CREG (Commission for the Regulation of Electricity and Gas, the federal regulatory body). These green certificates are valid for five years.</w:t>
            </w:r>
          </w:p>
        </w:tc>
        <w:tc>
          <w:tcPr>
            <w:tcW w:w="0" w:type="auto"/>
          </w:tcPr>
          <w:p w:rsidR="00307AFD" w:rsidRPr="00612500" w:rsidRDefault="00D96099" w:rsidP="001F4276">
            <w:pPr>
              <w:pStyle w:val="Nessunaspaziatura"/>
              <w:jc w:val="left"/>
              <w:cnfStyle w:val="000000000000"/>
              <w:rPr>
                <w:rFonts w:ascii="Calibri" w:hAnsi="Calibri"/>
              </w:rPr>
            </w:pPr>
            <w:r w:rsidRPr="00612500">
              <w:rPr>
                <w:rFonts w:ascii="Calibri" w:hAnsi="Calibri"/>
              </w:rPr>
              <w:t>-</w:t>
            </w:r>
          </w:p>
        </w:tc>
      </w:tr>
      <w:tr w:rsidR="004F3229" w:rsidRPr="00612500" w:rsidTr="001F4276">
        <w:trPr>
          <w:cantSplit/>
        </w:trPr>
        <w:tc>
          <w:tcPr>
            <w:cnfStyle w:val="001000000000"/>
            <w:tcW w:w="0" w:type="auto"/>
          </w:tcPr>
          <w:p w:rsidR="00307AFD" w:rsidRPr="00612500" w:rsidRDefault="00307AFD" w:rsidP="001F4276">
            <w:pPr>
              <w:pStyle w:val="Nessunaspaziatura"/>
              <w:jc w:val="left"/>
              <w:rPr>
                <w:rFonts w:ascii="Calibri" w:hAnsi="Calibri"/>
              </w:rPr>
            </w:pPr>
            <w:r w:rsidRPr="00612500">
              <w:rPr>
                <w:rFonts w:ascii="Calibri" w:hAnsi="Calibri"/>
              </w:rPr>
              <w:lastRenderedPageBreak/>
              <w:t>Decree of 29</w:t>
            </w:r>
            <w:r w:rsidRPr="00612500">
              <w:rPr>
                <w:rFonts w:ascii="Calibri" w:hAnsi="Calibri"/>
                <w:vertAlign w:val="superscript"/>
              </w:rPr>
              <w:t>th</w:t>
            </w:r>
            <w:r w:rsidRPr="00612500">
              <w:rPr>
                <w:rFonts w:ascii="Calibri" w:hAnsi="Calibri"/>
              </w:rPr>
              <w:t xml:space="preserve"> March 2007 (Brussels Region)</w:t>
            </w:r>
          </w:p>
        </w:tc>
        <w:tc>
          <w:tcPr>
            <w:tcW w:w="0" w:type="auto"/>
          </w:tcPr>
          <w:p w:rsidR="00307AFD" w:rsidRPr="00612500" w:rsidRDefault="00307AFD" w:rsidP="001F4276">
            <w:pPr>
              <w:pStyle w:val="Nessunaspaziatura"/>
              <w:jc w:val="left"/>
              <w:cnfStyle w:val="000000000000"/>
              <w:rPr>
                <w:rFonts w:ascii="Calibri" w:hAnsi="Calibri"/>
              </w:rPr>
            </w:pPr>
            <w:r w:rsidRPr="00612500">
              <w:rPr>
                <w:rFonts w:ascii="Calibri" w:hAnsi="Calibri"/>
              </w:rPr>
              <w:t>Quotas fixed for green certificates from 2008 onwards</w:t>
            </w:r>
          </w:p>
        </w:tc>
        <w:tc>
          <w:tcPr>
            <w:tcW w:w="0" w:type="auto"/>
          </w:tcPr>
          <w:p w:rsidR="0093618F" w:rsidRPr="00612500" w:rsidRDefault="0093618F" w:rsidP="0093618F">
            <w:pPr>
              <w:pStyle w:val="Nessunaspaziatura"/>
              <w:jc w:val="left"/>
              <w:cnfStyle w:val="000000000000"/>
              <w:rPr>
                <w:rFonts w:ascii="Calibri" w:hAnsi="Calibri"/>
              </w:rPr>
            </w:pPr>
            <w:r w:rsidRPr="00612500">
              <w:rPr>
                <w:rFonts w:ascii="Calibri" w:hAnsi="Calibri"/>
              </w:rPr>
              <w:t xml:space="preserve">Electricity suppliers are obliged to prove, by submitting certificates, that a certain statutory and continuously increasing proportion (quota) of the electricity they supply was generated from renewable sources. The minimum price per certificate is guaranteed by statutory law.  </w:t>
            </w:r>
          </w:p>
          <w:p w:rsidR="00307AFD" w:rsidRPr="00612500" w:rsidRDefault="007C69A8" w:rsidP="0093618F">
            <w:pPr>
              <w:pStyle w:val="Nessunaspaziatura"/>
              <w:jc w:val="left"/>
              <w:cnfStyle w:val="000000000000"/>
              <w:rPr>
                <w:rFonts w:ascii="Calibri" w:hAnsi="Calibri"/>
              </w:rPr>
            </w:pPr>
            <w:r w:rsidRPr="00612500">
              <w:rPr>
                <w:rFonts w:ascii="Calibri" w:hAnsi="Calibri"/>
              </w:rPr>
              <w:t xml:space="preserve">Green certificates are allocated provided the installation meets several requirements, including attesting to CO2 savings of at least 5% compared with conventional installations. </w:t>
            </w:r>
          </w:p>
        </w:tc>
        <w:tc>
          <w:tcPr>
            <w:tcW w:w="0" w:type="auto"/>
          </w:tcPr>
          <w:p w:rsidR="00307AFD" w:rsidRPr="00612500" w:rsidRDefault="0093618F" w:rsidP="001F4276">
            <w:pPr>
              <w:pStyle w:val="Nessunaspaziatura"/>
              <w:jc w:val="left"/>
              <w:cnfStyle w:val="000000000000"/>
              <w:rPr>
                <w:rFonts w:ascii="Calibri" w:eastAsia="Times New Roman" w:hAnsi="Calibri" w:cs="Arial"/>
                <w:color w:val="454545"/>
                <w:lang w:eastAsia="en-GB"/>
              </w:rPr>
            </w:pPr>
            <w:r w:rsidRPr="00612500">
              <w:rPr>
                <w:rFonts w:ascii="Calibri" w:hAnsi="Calibri"/>
              </w:rPr>
              <w:t>The number of certificates issued depends on the amount of electricity generated (in kWh) and the amount of CO2 saved. The formula for the calculation of the number of green certificates under 1 MW is the same for all technologies. Above a capacity of 1MW, one certificate is issued for each MWh of electricity produced.</w:t>
            </w:r>
          </w:p>
        </w:tc>
      </w:tr>
      <w:tr w:rsidR="004F3229" w:rsidRPr="00612500" w:rsidTr="001F4276">
        <w:trPr>
          <w:cantSplit/>
        </w:trPr>
        <w:tc>
          <w:tcPr>
            <w:cnfStyle w:val="001000000000"/>
            <w:tcW w:w="0" w:type="auto"/>
          </w:tcPr>
          <w:p w:rsidR="00065831" w:rsidRPr="00612500" w:rsidRDefault="00065831" w:rsidP="001F4276">
            <w:pPr>
              <w:pStyle w:val="Nessunaspaziatura"/>
              <w:jc w:val="left"/>
              <w:rPr>
                <w:rFonts w:ascii="Calibri" w:hAnsi="Calibri"/>
              </w:rPr>
            </w:pPr>
            <w:r w:rsidRPr="00612500">
              <w:rPr>
                <w:rFonts w:ascii="Calibri" w:hAnsi="Calibri"/>
              </w:rPr>
              <w:t xml:space="preserve">Flemish Energy Decree </w:t>
            </w:r>
            <w:r w:rsidR="003478A7" w:rsidRPr="00612500">
              <w:rPr>
                <w:rFonts w:ascii="Calibri" w:hAnsi="Calibri"/>
              </w:rPr>
              <w:t xml:space="preserve">of 2009 </w:t>
            </w:r>
          </w:p>
        </w:tc>
        <w:tc>
          <w:tcPr>
            <w:tcW w:w="0" w:type="auto"/>
          </w:tcPr>
          <w:p w:rsidR="00065831" w:rsidRPr="00612500" w:rsidRDefault="00065831" w:rsidP="001F4276">
            <w:pPr>
              <w:pStyle w:val="Nessunaspaziatura"/>
              <w:jc w:val="left"/>
              <w:cnfStyle w:val="000000000000"/>
              <w:rPr>
                <w:rFonts w:ascii="Calibri" w:hAnsi="Calibri"/>
              </w:rPr>
            </w:pPr>
            <w:r w:rsidRPr="00612500">
              <w:rPr>
                <w:rFonts w:ascii="Calibri" w:hAnsi="Calibri"/>
              </w:rPr>
              <w:t>Green certificates (Groenstroomcertificaten) quota system and a certificate trading scheme to support renewable energy technologies (Solar, hydro, biogas, landfill gas, waste combustion, other)</w:t>
            </w:r>
          </w:p>
        </w:tc>
        <w:tc>
          <w:tcPr>
            <w:tcW w:w="0" w:type="auto"/>
          </w:tcPr>
          <w:p w:rsidR="00065831" w:rsidRPr="00612500" w:rsidRDefault="00065831" w:rsidP="001F4276">
            <w:pPr>
              <w:pStyle w:val="Nessunaspaziatura"/>
              <w:jc w:val="left"/>
              <w:cnfStyle w:val="000000000000"/>
              <w:rPr>
                <w:rFonts w:ascii="Calibri" w:hAnsi="Calibri"/>
              </w:rPr>
            </w:pPr>
            <w:r w:rsidRPr="00612500">
              <w:rPr>
                <w:rFonts w:ascii="Calibri" w:hAnsi="Calibri"/>
              </w:rPr>
              <w:t xml:space="preserve">One certificate is equal to 1 MWh of electricity from renewable sources and is issued by the Flemish regulatory authority (VREG). </w:t>
            </w:r>
          </w:p>
          <w:p w:rsidR="00065831" w:rsidRPr="00612500" w:rsidRDefault="00065831" w:rsidP="001F4276">
            <w:pPr>
              <w:pStyle w:val="Nessunaspaziatura"/>
              <w:jc w:val="left"/>
              <w:cnfStyle w:val="000000000000"/>
              <w:rPr>
                <w:rFonts w:ascii="Calibri" w:hAnsi="Calibri"/>
              </w:rPr>
            </w:pPr>
            <w:r w:rsidRPr="00612500">
              <w:rPr>
                <w:rFonts w:ascii="Calibri" w:hAnsi="Calibri" w:cs="Garamond"/>
              </w:rPr>
              <w:t>Some caps apply to large volumes supplied.</w:t>
            </w:r>
          </w:p>
        </w:tc>
        <w:tc>
          <w:tcPr>
            <w:tcW w:w="0" w:type="auto"/>
          </w:tcPr>
          <w:p w:rsidR="00065831" w:rsidRPr="00612500" w:rsidRDefault="00065831" w:rsidP="00614B36">
            <w:pPr>
              <w:pStyle w:val="Nessunaspaziatura"/>
              <w:jc w:val="left"/>
              <w:cnfStyle w:val="000000000000"/>
              <w:rPr>
                <w:rFonts w:ascii="Calibri" w:eastAsia="Times New Roman" w:hAnsi="Calibri" w:cs="Arial"/>
                <w:color w:val="454545"/>
                <w:lang w:eastAsia="en-GB"/>
              </w:rPr>
            </w:pPr>
            <w:r w:rsidRPr="00612500">
              <w:rPr>
                <w:rFonts w:ascii="Calibri" w:hAnsi="Calibri" w:cs="Garamond"/>
              </w:rPr>
              <w:t xml:space="preserve">The </w:t>
            </w:r>
            <w:r w:rsidR="003478A7" w:rsidRPr="00612500">
              <w:rPr>
                <w:rFonts w:ascii="Calibri" w:hAnsi="Calibri" w:cs="Garamond"/>
              </w:rPr>
              <w:t xml:space="preserve">energy </w:t>
            </w:r>
            <w:r w:rsidRPr="00612500">
              <w:rPr>
                <w:rFonts w:ascii="Calibri" w:hAnsi="Calibri" w:cs="Garamond"/>
              </w:rPr>
              <w:t xml:space="preserve">supplier must pay an administrative fine of </w:t>
            </w:r>
            <w:r w:rsidR="00614B36" w:rsidRPr="00612500">
              <w:rPr>
                <w:rFonts w:ascii="Calibri" w:hAnsi="Calibri" w:cs="Garamond"/>
              </w:rPr>
              <w:t>€</w:t>
            </w:r>
            <w:r w:rsidRPr="00612500">
              <w:rPr>
                <w:rFonts w:ascii="Calibri" w:hAnsi="Calibri" w:cs="Garamond"/>
              </w:rPr>
              <w:t>125 for each missing certificate (</w:t>
            </w:r>
            <w:r w:rsidR="00614B36" w:rsidRPr="00612500">
              <w:rPr>
                <w:rFonts w:ascii="Calibri" w:hAnsi="Calibri" w:cs="Garamond"/>
              </w:rPr>
              <w:t>€</w:t>
            </w:r>
            <w:r w:rsidRPr="00612500">
              <w:rPr>
                <w:rFonts w:ascii="Calibri" w:hAnsi="Calibri" w:cs="Garamond"/>
              </w:rPr>
              <w:t xml:space="preserve">118 as of 2013 and </w:t>
            </w:r>
            <w:r w:rsidR="00614B36" w:rsidRPr="00612500">
              <w:rPr>
                <w:rFonts w:ascii="Calibri" w:hAnsi="Calibri" w:cs="Garamond"/>
              </w:rPr>
              <w:t>€</w:t>
            </w:r>
            <w:r w:rsidRPr="00612500">
              <w:rPr>
                <w:rFonts w:ascii="Calibri" w:hAnsi="Calibri" w:cs="Garamond"/>
              </w:rPr>
              <w:t xml:space="preserve">100 after 2013). Green certificates may be sold to the distribution grid operator: 1) For biogas installations: </w:t>
            </w:r>
            <w:r w:rsidR="00614B36" w:rsidRPr="00612500">
              <w:rPr>
                <w:rFonts w:ascii="Calibri" w:hAnsi="Calibri" w:cs="Garamond"/>
              </w:rPr>
              <w:t>€</w:t>
            </w:r>
            <w:r w:rsidRPr="00612500">
              <w:rPr>
                <w:rFonts w:ascii="Calibri" w:hAnsi="Calibri" w:cs="Garamond"/>
              </w:rPr>
              <w:t xml:space="preserve">110 if operating after 31 July 2012 and no other grant is given, otherwise </w:t>
            </w:r>
            <w:r w:rsidR="00614B36" w:rsidRPr="00612500">
              <w:rPr>
                <w:rFonts w:ascii="Calibri" w:hAnsi="Calibri" w:cs="Garamond"/>
              </w:rPr>
              <w:t>€</w:t>
            </w:r>
            <w:r w:rsidRPr="00612500">
              <w:rPr>
                <w:rFonts w:ascii="Calibri" w:hAnsi="Calibri" w:cs="Garamond"/>
              </w:rPr>
              <w:t xml:space="preserve">100 with a guarantee of 10 years, or 20 years for AD of wastes; 2) For waste combustion and landfill gas installations </w:t>
            </w:r>
            <w:r w:rsidR="00F57DC1" w:rsidRPr="00612500">
              <w:rPr>
                <w:rFonts w:ascii="Calibri" w:hAnsi="Calibri" w:cs="Garamond"/>
              </w:rPr>
              <w:t xml:space="preserve">the </w:t>
            </w:r>
            <w:r w:rsidRPr="00612500">
              <w:rPr>
                <w:rFonts w:ascii="Calibri" w:hAnsi="Calibri" w:cs="Garamond"/>
              </w:rPr>
              <w:t xml:space="preserve">price is </w:t>
            </w:r>
            <w:r w:rsidR="00614B36" w:rsidRPr="00612500">
              <w:rPr>
                <w:rFonts w:ascii="Calibri" w:hAnsi="Calibri" w:cs="Garamond"/>
              </w:rPr>
              <w:t>€</w:t>
            </w:r>
            <w:r w:rsidRPr="00612500">
              <w:rPr>
                <w:rFonts w:ascii="Calibri" w:hAnsi="Calibri" w:cs="Garamond"/>
              </w:rPr>
              <w:t>60 with 10 years guarantee.</w:t>
            </w:r>
          </w:p>
        </w:tc>
      </w:tr>
      <w:tr w:rsidR="004F3229" w:rsidRPr="0018342E" w:rsidTr="001F4276">
        <w:trPr>
          <w:cantSplit/>
        </w:trPr>
        <w:tc>
          <w:tcPr>
            <w:cnfStyle w:val="001000000000"/>
            <w:tcW w:w="0" w:type="auto"/>
          </w:tcPr>
          <w:p w:rsidR="00915462" w:rsidRPr="00612500" w:rsidRDefault="00915462" w:rsidP="001F4276">
            <w:pPr>
              <w:pStyle w:val="Nessunaspaziatura"/>
              <w:jc w:val="left"/>
              <w:rPr>
                <w:rFonts w:ascii="Calibri" w:hAnsi="Calibri"/>
                <w:lang w:val="da-DK"/>
              </w:rPr>
            </w:pPr>
            <w:r w:rsidRPr="00612500">
              <w:rPr>
                <w:rFonts w:ascii="Calibri" w:hAnsi="Calibri"/>
                <w:lang w:val="da-DK"/>
              </w:rPr>
              <w:t xml:space="preserve">Besluit van de Vlaamse Regering houdende algemene bepalingen over het energiebeleid – het Energiebesluit van 19 </w:t>
            </w:r>
            <w:r w:rsidR="00F57DC1" w:rsidRPr="00612500">
              <w:rPr>
                <w:rFonts w:ascii="Calibri" w:hAnsi="Calibri"/>
                <w:lang w:val="da-DK"/>
              </w:rPr>
              <w:t>N</w:t>
            </w:r>
            <w:r w:rsidRPr="00612500">
              <w:rPr>
                <w:rFonts w:ascii="Calibri" w:hAnsi="Calibri"/>
                <w:lang w:val="da-DK"/>
              </w:rPr>
              <w:t xml:space="preserve">ovember 2010 </w:t>
            </w:r>
          </w:p>
        </w:tc>
        <w:tc>
          <w:tcPr>
            <w:tcW w:w="0" w:type="auto"/>
          </w:tcPr>
          <w:p w:rsidR="00915462" w:rsidRPr="00612500" w:rsidRDefault="00915462" w:rsidP="001F4276">
            <w:pPr>
              <w:pStyle w:val="Nessunaspaziatura"/>
              <w:jc w:val="left"/>
              <w:cnfStyle w:val="000000000000"/>
              <w:rPr>
                <w:rFonts w:ascii="Calibri" w:hAnsi="Calibri"/>
                <w:i/>
                <w:lang w:val="da-DK"/>
              </w:rPr>
            </w:pPr>
          </w:p>
        </w:tc>
        <w:tc>
          <w:tcPr>
            <w:tcW w:w="0" w:type="auto"/>
          </w:tcPr>
          <w:p w:rsidR="00915462" w:rsidRPr="00612500" w:rsidRDefault="00915462" w:rsidP="001F4276">
            <w:pPr>
              <w:pStyle w:val="Nessunaspaziatura"/>
              <w:jc w:val="left"/>
              <w:cnfStyle w:val="000000000000"/>
              <w:rPr>
                <w:rFonts w:ascii="Calibri" w:hAnsi="Calibri"/>
                <w:i/>
                <w:lang w:val="da-DK"/>
              </w:rPr>
            </w:pPr>
          </w:p>
        </w:tc>
        <w:tc>
          <w:tcPr>
            <w:tcW w:w="0" w:type="auto"/>
          </w:tcPr>
          <w:p w:rsidR="00915462" w:rsidRPr="00612500" w:rsidRDefault="00915462" w:rsidP="001F4276">
            <w:pPr>
              <w:pStyle w:val="Nessunaspaziatura"/>
              <w:jc w:val="left"/>
              <w:cnfStyle w:val="000000000000"/>
              <w:rPr>
                <w:rFonts w:ascii="Calibri" w:eastAsia="Times New Roman" w:hAnsi="Calibri" w:cs="Arial"/>
                <w:i/>
                <w:color w:val="454545"/>
                <w:lang w:val="da-DK" w:eastAsia="en-GB"/>
              </w:rPr>
            </w:pPr>
          </w:p>
        </w:tc>
      </w:tr>
      <w:tr w:rsidR="004F3229" w:rsidRPr="00612500" w:rsidTr="001F4276">
        <w:trPr>
          <w:cantSplit/>
          <w:trHeight w:val="1824"/>
        </w:trPr>
        <w:tc>
          <w:tcPr>
            <w:cnfStyle w:val="001000000000"/>
            <w:tcW w:w="0" w:type="auto"/>
          </w:tcPr>
          <w:p w:rsidR="00915462" w:rsidRPr="00612500" w:rsidRDefault="00915462" w:rsidP="001F4276">
            <w:pPr>
              <w:pStyle w:val="Nessunaspaziatura"/>
              <w:jc w:val="left"/>
              <w:rPr>
                <w:rFonts w:ascii="Calibri" w:hAnsi="Calibri"/>
              </w:rPr>
            </w:pPr>
            <w:r w:rsidRPr="00612500">
              <w:rPr>
                <w:rFonts w:ascii="Calibri" w:hAnsi="Calibri"/>
              </w:rPr>
              <w:lastRenderedPageBreak/>
              <w:t>Resolution for modification of the Flemish Energy Resolution (8</w:t>
            </w:r>
            <w:r w:rsidRPr="00612500">
              <w:rPr>
                <w:rFonts w:ascii="Calibri" w:hAnsi="Calibri"/>
                <w:vertAlign w:val="superscript"/>
              </w:rPr>
              <w:t>th</w:t>
            </w:r>
            <w:r w:rsidRPr="00612500">
              <w:rPr>
                <w:rFonts w:ascii="Calibri" w:hAnsi="Calibri"/>
              </w:rPr>
              <w:t xml:space="preserve"> April 2011, 8 July 2011) </w:t>
            </w:r>
          </w:p>
        </w:tc>
        <w:tc>
          <w:tcPr>
            <w:tcW w:w="0" w:type="auto"/>
          </w:tcPr>
          <w:p w:rsidR="00915462" w:rsidRPr="00612500" w:rsidRDefault="00915462" w:rsidP="001F4276">
            <w:pPr>
              <w:pStyle w:val="Nessunaspaziatura"/>
              <w:jc w:val="left"/>
              <w:cnfStyle w:val="000000000000"/>
              <w:rPr>
                <w:rFonts w:ascii="Calibri" w:hAnsi="Calibri"/>
              </w:rPr>
            </w:pPr>
            <w:r w:rsidRPr="00612500">
              <w:rPr>
                <w:rFonts w:ascii="Calibri" w:hAnsi="Calibri"/>
              </w:rPr>
              <w:t>Ensure</w:t>
            </w:r>
            <w:r w:rsidR="00F57DC1" w:rsidRPr="00612500">
              <w:rPr>
                <w:rFonts w:ascii="Calibri" w:hAnsi="Calibri"/>
              </w:rPr>
              <w:t>s</w:t>
            </w:r>
            <w:r w:rsidRPr="00612500">
              <w:rPr>
                <w:rFonts w:ascii="Calibri" w:hAnsi="Calibri"/>
              </w:rPr>
              <w:t xml:space="preserve"> the sustainability of feedstock used for bioenergy production</w:t>
            </w:r>
          </w:p>
        </w:tc>
        <w:tc>
          <w:tcPr>
            <w:tcW w:w="0" w:type="auto"/>
          </w:tcPr>
          <w:p w:rsidR="00915462" w:rsidRPr="00612500" w:rsidRDefault="00915462" w:rsidP="001F4276">
            <w:pPr>
              <w:pStyle w:val="Nessunaspaziatura"/>
              <w:jc w:val="left"/>
              <w:cnfStyle w:val="000000000000"/>
              <w:rPr>
                <w:rFonts w:ascii="Calibri" w:hAnsi="Calibri"/>
              </w:rPr>
            </w:pPr>
            <w:r w:rsidRPr="00612500">
              <w:rPr>
                <w:rFonts w:ascii="Calibri" w:hAnsi="Calibri"/>
              </w:rPr>
              <w:t xml:space="preserve">Modifies the Energy Resolution by introducing sustainability criteria for the liquid biomass and guarantees of origin. To be eligible for green certificates, it is necessary to show that biomass is sustainable according to the criteria and that biomass is not an industrial feedstock. </w:t>
            </w:r>
          </w:p>
        </w:tc>
        <w:tc>
          <w:tcPr>
            <w:tcW w:w="0" w:type="auto"/>
          </w:tcPr>
          <w:p w:rsidR="00915462" w:rsidRPr="00612500" w:rsidRDefault="00915462" w:rsidP="001F4276">
            <w:pPr>
              <w:pStyle w:val="Nessunaspaziatura"/>
              <w:jc w:val="left"/>
              <w:cnfStyle w:val="000000000000"/>
              <w:rPr>
                <w:rFonts w:ascii="Calibri" w:eastAsia="Times New Roman" w:hAnsi="Calibri" w:cs="Arial"/>
                <w:color w:val="454545"/>
                <w:lang w:eastAsia="en-GB"/>
              </w:rPr>
            </w:pPr>
          </w:p>
        </w:tc>
      </w:tr>
      <w:tr w:rsidR="004F3229" w:rsidRPr="00612500" w:rsidTr="001F4276">
        <w:trPr>
          <w:cantSplit/>
          <w:trHeight w:val="1343"/>
        </w:trPr>
        <w:tc>
          <w:tcPr>
            <w:cnfStyle w:val="001000000000"/>
            <w:tcW w:w="0" w:type="auto"/>
          </w:tcPr>
          <w:p w:rsidR="00915462" w:rsidRPr="00612500" w:rsidRDefault="003B64D7" w:rsidP="001F4276">
            <w:pPr>
              <w:pStyle w:val="Nessunaspaziatura"/>
              <w:jc w:val="left"/>
              <w:rPr>
                <w:rFonts w:ascii="Calibri" w:hAnsi="Calibri"/>
              </w:rPr>
            </w:pPr>
            <w:r w:rsidRPr="00612500">
              <w:rPr>
                <w:rFonts w:ascii="Calibri" w:hAnsi="Calibri"/>
              </w:rPr>
              <w:t xml:space="preserve">Flemish Support for Investment </w:t>
            </w:r>
            <w:r w:rsidR="00915462" w:rsidRPr="00612500">
              <w:rPr>
                <w:rFonts w:ascii="Calibri" w:hAnsi="Calibri"/>
              </w:rPr>
              <w:t>- Support for ecologi</w:t>
            </w:r>
            <w:r w:rsidR="00D96099" w:rsidRPr="00612500">
              <w:rPr>
                <w:rFonts w:ascii="Calibri" w:hAnsi="Calibri"/>
              </w:rPr>
              <w:t>cal investments (ecologiesteun)</w:t>
            </w:r>
            <w:r w:rsidR="00915462" w:rsidRPr="00612500">
              <w:rPr>
                <w:rStyle w:val="notranslate"/>
                <w:rFonts w:ascii="Calibri" w:hAnsi="Calibri"/>
              </w:rPr>
              <w:t>16 March 2012</w:t>
            </w:r>
            <w:r w:rsidR="00915462" w:rsidRPr="00612500">
              <w:rPr>
                <w:rStyle w:val="Rimandonotaapidipagina"/>
                <w:rFonts w:ascii="Calibri" w:hAnsi="Calibri"/>
              </w:rPr>
              <w:footnoteReference w:id="5"/>
            </w:r>
          </w:p>
        </w:tc>
        <w:tc>
          <w:tcPr>
            <w:tcW w:w="0" w:type="auto"/>
          </w:tcPr>
          <w:p w:rsidR="00915462" w:rsidRPr="00612500" w:rsidRDefault="003B64D7" w:rsidP="003B64D7">
            <w:pPr>
              <w:pStyle w:val="Nessunaspaziatura"/>
              <w:jc w:val="left"/>
              <w:cnfStyle w:val="000000000000"/>
              <w:rPr>
                <w:rFonts w:ascii="Calibri" w:hAnsi="Calibri"/>
              </w:rPr>
            </w:pPr>
            <w:r w:rsidRPr="00612500">
              <w:rPr>
                <w:rFonts w:ascii="Calibri" w:hAnsi="Calibri"/>
              </w:rPr>
              <w:t>A</w:t>
            </w:r>
            <w:r w:rsidR="00915462" w:rsidRPr="00612500">
              <w:rPr>
                <w:rFonts w:ascii="Calibri" w:hAnsi="Calibri"/>
              </w:rPr>
              <w:t xml:space="preserve"> new support </w:t>
            </w:r>
            <w:r w:rsidRPr="00612500">
              <w:rPr>
                <w:rFonts w:ascii="Calibri" w:hAnsi="Calibri"/>
              </w:rPr>
              <w:t>scheme</w:t>
            </w:r>
            <w:r w:rsidR="00915462" w:rsidRPr="00612500">
              <w:rPr>
                <w:rFonts w:ascii="Calibri" w:hAnsi="Calibri"/>
              </w:rPr>
              <w:t xml:space="preserve"> for strategic ecology projects involving investments in green-technology can be subsidized</w:t>
            </w:r>
          </w:p>
        </w:tc>
        <w:tc>
          <w:tcPr>
            <w:tcW w:w="0" w:type="auto"/>
          </w:tcPr>
          <w:p w:rsidR="00915462" w:rsidRPr="00612500" w:rsidRDefault="00915462" w:rsidP="001F4276">
            <w:pPr>
              <w:pStyle w:val="Nessunaspaziatura"/>
              <w:jc w:val="left"/>
              <w:cnfStyle w:val="000000000000"/>
              <w:rPr>
                <w:rFonts w:ascii="Calibri" w:hAnsi="Calibri"/>
                <w:i/>
              </w:rPr>
            </w:pPr>
          </w:p>
        </w:tc>
        <w:tc>
          <w:tcPr>
            <w:tcW w:w="0" w:type="auto"/>
          </w:tcPr>
          <w:p w:rsidR="00915462" w:rsidRPr="00612500" w:rsidRDefault="00915462" w:rsidP="001F4276">
            <w:pPr>
              <w:pStyle w:val="Nessunaspaziatura"/>
              <w:jc w:val="left"/>
              <w:cnfStyle w:val="000000000000"/>
              <w:rPr>
                <w:rFonts w:ascii="Calibri" w:eastAsia="Times New Roman" w:hAnsi="Calibri" w:cs="Arial"/>
                <w:color w:val="454545"/>
                <w:lang w:eastAsia="en-GB"/>
              </w:rPr>
            </w:pPr>
            <w:r w:rsidRPr="00612500">
              <w:rPr>
                <w:rFonts w:ascii="Calibri" w:hAnsi="Calibri"/>
              </w:rPr>
              <w:t>For SMEs, the maximum subsidy is 40% of admissible costs, and 20% maximum for large organisations. The admissible costs vary according to technology, and are 50% for biomass, biogas and CHP generation plants.</w:t>
            </w:r>
          </w:p>
        </w:tc>
      </w:tr>
      <w:tr w:rsidR="004F3229" w:rsidRPr="00612500" w:rsidTr="001F4276">
        <w:trPr>
          <w:cantSplit/>
        </w:trPr>
        <w:tc>
          <w:tcPr>
            <w:cnfStyle w:val="001000000000"/>
            <w:tcW w:w="0" w:type="auto"/>
          </w:tcPr>
          <w:p w:rsidR="00915462" w:rsidRPr="00612500" w:rsidRDefault="00915462" w:rsidP="001F4276">
            <w:pPr>
              <w:pStyle w:val="Nessunaspaziatura"/>
              <w:jc w:val="left"/>
              <w:rPr>
                <w:rFonts w:ascii="Calibri" w:hAnsi="Calibri"/>
              </w:rPr>
            </w:pPr>
            <w:r w:rsidRPr="00612500">
              <w:rPr>
                <w:rFonts w:ascii="Calibri" w:hAnsi="Calibri"/>
              </w:rPr>
              <w:t xml:space="preserve">Walloon Support for Investment </w:t>
            </w:r>
          </w:p>
        </w:tc>
        <w:tc>
          <w:tcPr>
            <w:tcW w:w="0" w:type="auto"/>
          </w:tcPr>
          <w:p w:rsidR="00915462" w:rsidRPr="00612500" w:rsidRDefault="00915462" w:rsidP="001F4276">
            <w:pPr>
              <w:pStyle w:val="Nessunaspaziatura"/>
              <w:jc w:val="left"/>
              <w:cnfStyle w:val="000000000000"/>
              <w:rPr>
                <w:rFonts w:ascii="Calibri" w:hAnsi="Calibri"/>
              </w:rPr>
            </w:pPr>
            <w:r w:rsidRPr="00612500">
              <w:rPr>
                <w:rFonts w:ascii="Calibri" w:hAnsi="Calibri"/>
              </w:rPr>
              <w:t>Investment premium (and exemption from property tax)</w:t>
            </w:r>
          </w:p>
        </w:tc>
        <w:tc>
          <w:tcPr>
            <w:tcW w:w="0" w:type="auto"/>
          </w:tcPr>
          <w:p w:rsidR="00915462" w:rsidRPr="00612500" w:rsidRDefault="003B64D7" w:rsidP="001F4276">
            <w:pPr>
              <w:pStyle w:val="Nessunaspaziatura"/>
              <w:jc w:val="left"/>
              <w:cnfStyle w:val="000000000000"/>
              <w:rPr>
                <w:rFonts w:ascii="Calibri" w:hAnsi="Calibri"/>
              </w:rPr>
            </w:pPr>
            <w:r w:rsidRPr="00612500">
              <w:rPr>
                <w:rFonts w:ascii="Calibri" w:hAnsi="Calibri"/>
              </w:rPr>
              <w:t>Costs vary according to technology.</w:t>
            </w:r>
          </w:p>
        </w:tc>
        <w:tc>
          <w:tcPr>
            <w:tcW w:w="0" w:type="auto"/>
          </w:tcPr>
          <w:p w:rsidR="00915462" w:rsidRPr="00612500" w:rsidRDefault="00915462" w:rsidP="003B64D7">
            <w:pPr>
              <w:pStyle w:val="Nessunaspaziatura"/>
              <w:jc w:val="left"/>
              <w:cnfStyle w:val="000000000000"/>
              <w:rPr>
                <w:rFonts w:ascii="Calibri" w:eastAsia="Times New Roman" w:hAnsi="Calibri" w:cs="Arial"/>
                <w:color w:val="454545"/>
                <w:lang w:eastAsia="en-GB"/>
              </w:rPr>
            </w:pPr>
            <w:r w:rsidRPr="00612500">
              <w:rPr>
                <w:rFonts w:ascii="Calibri" w:hAnsi="Calibri"/>
              </w:rPr>
              <w:t>Subsidy is at most 50% of admissible additional costs and at most</w:t>
            </w:r>
            <w:r w:rsidR="003B64D7" w:rsidRPr="00612500">
              <w:rPr>
                <w:rFonts w:ascii="Calibri" w:hAnsi="Calibri"/>
              </w:rPr>
              <w:t xml:space="preserve"> 20-30% for large enterprises. </w:t>
            </w:r>
          </w:p>
        </w:tc>
      </w:tr>
      <w:tr w:rsidR="004F3229" w:rsidRPr="00612500" w:rsidTr="001F4276">
        <w:trPr>
          <w:cantSplit/>
        </w:trPr>
        <w:tc>
          <w:tcPr>
            <w:cnfStyle w:val="001000000000"/>
            <w:tcW w:w="0" w:type="auto"/>
          </w:tcPr>
          <w:p w:rsidR="00915462" w:rsidRPr="00612500" w:rsidRDefault="00915462" w:rsidP="001F4276">
            <w:pPr>
              <w:pStyle w:val="Nessunaspaziatura"/>
              <w:jc w:val="left"/>
              <w:rPr>
                <w:rFonts w:ascii="Calibri" w:hAnsi="Calibri"/>
              </w:rPr>
            </w:pPr>
            <w:r w:rsidRPr="00612500">
              <w:rPr>
                <w:rFonts w:ascii="Calibri" w:hAnsi="Calibri"/>
              </w:rPr>
              <w:t xml:space="preserve">Brussels Support for Investment </w:t>
            </w:r>
          </w:p>
        </w:tc>
        <w:tc>
          <w:tcPr>
            <w:tcW w:w="0" w:type="auto"/>
          </w:tcPr>
          <w:p w:rsidR="00915462" w:rsidRPr="00612500" w:rsidRDefault="00915462" w:rsidP="001F4276">
            <w:pPr>
              <w:pStyle w:val="Nessunaspaziatura"/>
              <w:jc w:val="left"/>
              <w:cnfStyle w:val="000000000000"/>
              <w:rPr>
                <w:rFonts w:ascii="Calibri" w:hAnsi="Calibri"/>
              </w:rPr>
            </w:pPr>
            <w:r w:rsidRPr="00612500">
              <w:rPr>
                <w:rFonts w:ascii="Calibri" w:hAnsi="Calibri"/>
              </w:rPr>
              <w:t xml:space="preserve">The ‘energy premiums’ supports project promoters in acquiring installations for the production of energy from renewable energy sources. </w:t>
            </w:r>
          </w:p>
        </w:tc>
        <w:tc>
          <w:tcPr>
            <w:tcW w:w="0" w:type="auto"/>
          </w:tcPr>
          <w:p w:rsidR="00915462" w:rsidRPr="00612500" w:rsidRDefault="00915462" w:rsidP="001F4276">
            <w:pPr>
              <w:pStyle w:val="Nessunaspaziatura"/>
              <w:jc w:val="left"/>
              <w:cnfStyle w:val="000000000000"/>
              <w:rPr>
                <w:rFonts w:ascii="Calibri" w:hAnsi="Calibri"/>
              </w:rPr>
            </w:pPr>
          </w:p>
        </w:tc>
        <w:tc>
          <w:tcPr>
            <w:tcW w:w="0" w:type="auto"/>
          </w:tcPr>
          <w:p w:rsidR="00915462" w:rsidRPr="00612500" w:rsidRDefault="00915462" w:rsidP="001F4276">
            <w:pPr>
              <w:pStyle w:val="Nessunaspaziatura"/>
              <w:jc w:val="left"/>
              <w:cnfStyle w:val="000000000000"/>
              <w:rPr>
                <w:rFonts w:ascii="Calibri" w:eastAsia="Times New Roman" w:hAnsi="Calibri" w:cs="Arial"/>
                <w:color w:val="454545"/>
                <w:lang w:eastAsia="en-GB"/>
              </w:rPr>
            </w:pPr>
            <w:r w:rsidRPr="00612500">
              <w:rPr>
                <w:rFonts w:ascii="Calibri" w:hAnsi="Calibri"/>
              </w:rPr>
              <w:t>Scheme provides premiums equivalent to 30% costs for non-PV electricity generation.Collective housing and the industrial sector provides 50% costs towards costs of feasibility studies.</w:t>
            </w:r>
          </w:p>
        </w:tc>
      </w:tr>
      <w:tr w:rsidR="004F3229" w:rsidRPr="00612500" w:rsidTr="001F4276">
        <w:trPr>
          <w:cantSplit/>
        </w:trPr>
        <w:tc>
          <w:tcPr>
            <w:cnfStyle w:val="001000000000"/>
            <w:tcW w:w="0" w:type="auto"/>
          </w:tcPr>
          <w:p w:rsidR="00915462" w:rsidRPr="00612500" w:rsidRDefault="00915462" w:rsidP="003B64D7">
            <w:pPr>
              <w:pStyle w:val="Nessunaspaziatura"/>
              <w:jc w:val="left"/>
              <w:rPr>
                <w:rFonts w:ascii="Calibri" w:hAnsi="Calibri"/>
                <w:lang w:val="nl-BE"/>
              </w:rPr>
            </w:pPr>
            <w:r w:rsidRPr="00612500">
              <w:rPr>
                <w:rFonts w:ascii="Calibri" w:hAnsi="Calibri"/>
                <w:lang w:val="nl-BE"/>
              </w:rPr>
              <w:lastRenderedPageBreak/>
              <w:t xml:space="preserve">Steunregeling groene warmte(Flemish Green Heat) </w:t>
            </w:r>
            <w:r w:rsidR="003B64D7" w:rsidRPr="00612500">
              <w:rPr>
                <w:rFonts w:ascii="Calibri" w:hAnsi="Calibri"/>
                <w:lang w:val="nl-BE"/>
              </w:rPr>
              <w:t xml:space="preserve">2012 </w:t>
            </w:r>
            <w:r w:rsidRPr="00612500">
              <w:rPr>
                <w:rFonts w:ascii="Calibri" w:hAnsi="Calibri"/>
                <w:vertAlign w:val="superscript"/>
              </w:rPr>
              <w:footnoteReference w:id="6"/>
            </w:r>
          </w:p>
        </w:tc>
        <w:tc>
          <w:tcPr>
            <w:tcW w:w="0" w:type="auto"/>
          </w:tcPr>
          <w:p w:rsidR="00915462" w:rsidRPr="00612500" w:rsidRDefault="00915462" w:rsidP="001F4276">
            <w:pPr>
              <w:pStyle w:val="Nessunaspaziatura"/>
              <w:jc w:val="left"/>
              <w:cnfStyle w:val="000000000000"/>
              <w:rPr>
                <w:rFonts w:ascii="Calibri" w:hAnsi="Calibri"/>
              </w:rPr>
            </w:pPr>
            <w:r w:rsidRPr="00612500">
              <w:rPr>
                <w:rFonts w:ascii="Calibri" w:hAnsi="Calibri"/>
              </w:rPr>
              <w:t>Increase the uptake of renewables in heat generation and cooling in Flanders</w:t>
            </w:r>
          </w:p>
        </w:tc>
        <w:tc>
          <w:tcPr>
            <w:tcW w:w="0" w:type="auto"/>
          </w:tcPr>
          <w:p w:rsidR="003B64D7" w:rsidRPr="00612500" w:rsidRDefault="00915462" w:rsidP="001F4276">
            <w:pPr>
              <w:pStyle w:val="Nessunaspaziatura"/>
              <w:jc w:val="left"/>
              <w:cnfStyle w:val="000000000000"/>
              <w:rPr>
                <w:rFonts w:ascii="Calibri" w:hAnsi="Calibri"/>
              </w:rPr>
            </w:pPr>
            <w:r w:rsidRPr="00612500">
              <w:rPr>
                <w:rFonts w:ascii="Calibri" w:hAnsi="Calibri"/>
              </w:rPr>
              <w:t xml:space="preserve">Provides financial support for residual heat valorisation, the production of useful heating or cooling from biomass and the injection of biogas into the gas grid. Aid is for a new or renewed installation with a thermal output of 1MW. Aid cannot be combined with cogeneration or green certificates. </w:t>
            </w:r>
          </w:p>
          <w:p w:rsidR="00915462" w:rsidRPr="00612500" w:rsidRDefault="00915462" w:rsidP="003B64D7">
            <w:pPr>
              <w:pStyle w:val="Nessunaspaziatura"/>
              <w:jc w:val="left"/>
              <w:cnfStyle w:val="000000000000"/>
              <w:rPr>
                <w:rFonts w:ascii="Calibri" w:hAnsi="Calibri"/>
              </w:rPr>
            </w:pPr>
            <w:r w:rsidRPr="00612500">
              <w:rPr>
                <w:rFonts w:ascii="Calibri" w:hAnsi="Calibri"/>
              </w:rPr>
              <w:t>Solid, liquid and gaseous organic-biological substances are eligible except wastes which can be recycled, or wood with industrial markets. A 6 monthly call system will be used to fund plants</w:t>
            </w:r>
            <w:r w:rsidR="003B64D7" w:rsidRPr="00612500">
              <w:rPr>
                <w:rFonts w:ascii="Calibri" w:hAnsi="Calibri"/>
              </w:rPr>
              <w:t>.</w:t>
            </w:r>
          </w:p>
        </w:tc>
        <w:tc>
          <w:tcPr>
            <w:tcW w:w="0" w:type="auto"/>
          </w:tcPr>
          <w:p w:rsidR="00915462" w:rsidRPr="00612500" w:rsidRDefault="00915462" w:rsidP="00BC7998">
            <w:pPr>
              <w:pStyle w:val="Nessunaspaziatura"/>
              <w:jc w:val="left"/>
              <w:cnfStyle w:val="000000000000"/>
              <w:rPr>
                <w:rFonts w:ascii="Calibri" w:hAnsi="Calibri"/>
              </w:rPr>
            </w:pPr>
            <w:r w:rsidRPr="00612500">
              <w:rPr>
                <w:rFonts w:ascii="Calibri" w:hAnsi="Calibri"/>
              </w:rPr>
              <w:t xml:space="preserve">Scheme has an overall budget of </w:t>
            </w:r>
            <w:r w:rsidR="00BC7998" w:rsidRPr="00612500">
              <w:rPr>
                <w:rFonts w:ascii="Calibri" w:hAnsi="Calibri"/>
              </w:rPr>
              <w:t>€</w:t>
            </w:r>
            <w:r w:rsidRPr="00612500">
              <w:rPr>
                <w:rFonts w:ascii="Calibri" w:hAnsi="Calibri"/>
              </w:rPr>
              <w:t xml:space="preserve">4.4 million in 2012. Upto </w:t>
            </w:r>
            <w:r w:rsidR="00BC7998" w:rsidRPr="00612500">
              <w:rPr>
                <w:rFonts w:ascii="Calibri" w:hAnsi="Calibri"/>
              </w:rPr>
              <w:t>€</w:t>
            </w:r>
            <w:r w:rsidRPr="00612500">
              <w:rPr>
                <w:rFonts w:ascii="Calibri" w:hAnsi="Calibri"/>
              </w:rPr>
              <w:t xml:space="preserve">6 per MWh is available to applicants, but requests with lowest support needs per MWh will be more highly ranked. </w:t>
            </w:r>
          </w:p>
        </w:tc>
      </w:tr>
    </w:tbl>
    <w:p w:rsidR="00EB50A9" w:rsidRPr="00612500" w:rsidRDefault="00EB50A9" w:rsidP="00EB50A9">
      <w:pPr>
        <w:rPr>
          <w:rFonts w:ascii="Calibri" w:hAnsi="Calibri"/>
        </w:rPr>
      </w:pPr>
    </w:p>
    <w:p w:rsidR="008E0FDA" w:rsidRPr="00612500" w:rsidRDefault="008E0FDA" w:rsidP="00EB50A9">
      <w:pPr>
        <w:rPr>
          <w:rFonts w:ascii="Calibri" w:hAnsi="Calibri"/>
        </w:rPr>
      </w:pPr>
    </w:p>
    <w:p w:rsidR="008E0FDA" w:rsidRPr="00612500" w:rsidRDefault="008E0FDA" w:rsidP="00EB50A9">
      <w:pPr>
        <w:rPr>
          <w:rFonts w:ascii="Calibri" w:hAnsi="Calibri"/>
        </w:rPr>
      </w:pPr>
    </w:p>
    <w:p w:rsidR="008E0FDA" w:rsidRPr="00612500" w:rsidRDefault="008E0FDA" w:rsidP="00EB50A9">
      <w:pPr>
        <w:rPr>
          <w:rFonts w:ascii="Calibri" w:hAnsi="Calibri"/>
        </w:rPr>
      </w:pPr>
    </w:p>
    <w:p w:rsidR="008E0FDA" w:rsidRPr="00612500" w:rsidRDefault="008E0FDA" w:rsidP="00EB50A9">
      <w:pPr>
        <w:rPr>
          <w:rFonts w:ascii="Calibri" w:hAnsi="Calibri"/>
        </w:rPr>
      </w:pPr>
    </w:p>
    <w:p w:rsidR="0093618F" w:rsidRPr="00612500" w:rsidRDefault="0093618F" w:rsidP="00EB50A9">
      <w:pPr>
        <w:rPr>
          <w:rFonts w:ascii="Calibri" w:hAnsi="Calibri"/>
        </w:rPr>
      </w:pPr>
    </w:p>
    <w:p w:rsidR="0093618F" w:rsidRPr="00612500" w:rsidRDefault="0093618F" w:rsidP="00EB50A9">
      <w:pPr>
        <w:rPr>
          <w:rFonts w:ascii="Calibri" w:hAnsi="Calibri"/>
        </w:rPr>
      </w:pPr>
    </w:p>
    <w:p w:rsidR="0093618F" w:rsidRPr="00612500" w:rsidRDefault="0093618F" w:rsidP="00EB50A9">
      <w:pPr>
        <w:rPr>
          <w:rFonts w:ascii="Calibri" w:hAnsi="Calibri"/>
        </w:rPr>
      </w:pPr>
    </w:p>
    <w:p w:rsidR="00170573" w:rsidRPr="00612500" w:rsidRDefault="00EB50A9" w:rsidP="006F1DE2">
      <w:pPr>
        <w:pStyle w:val="Titolo2"/>
        <w:rPr>
          <w:rFonts w:ascii="Calibri" w:eastAsiaTheme="majorEastAsia" w:hAnsi="Calibri"/>
        </w:rPr>
      </w:pPr>
      <w:r w:rsidRPr="00612500">
        <w:rPr>
          <w:rFonts w:ascii="Calibri" w:eastAsiaTheme="majorEastAsia" w:hAnsi="Calibri"/>
        </w:rPr>
        <w:t xml:space="preserve">Biofuels </w:t>
      </w:r>
    </w:p>
    <w:tbl>
      <w:tblPr>
        <w:tblStyle w:val="Sfondomedio1-Colore2"/>
        <w:tblpPr w:leftFromText="181" w:rightFromText="181" w:vertAnchor="text" w:horzAnchor="margin" w:tblpY="1"/>
        <w:tblW w:w="0" w:type="auto"/>
        <w:tblLook w:val="06A0"/>
      </w:tblPr>
      <w:tblGrid>
        <w:gridCol w:w="2952"/>
        <w:gridCol w:w="2142"/>
        <w:gridCol w:w="5705"/>
        <w:gridCol w:w="3375"/>
      </w:tblGrid>
      <w:tr w:rsidR="0030785C" w:rsidRPr="00612500" w:rsidTr="0026734F">
        <w:trPr>
          <w:cnfStyle w:val="100000000000"/>
          <w:cantSplit/>
        </w:trPr>
        <w:tc>
          <w:tcPr>
            <w:cnfStyle w:val="001000000000"/>
            <w:tcW w:w="0" w:type="auto"/>
          </w:tcPr>
          <w:p w:rsidR="00EB50A9" w:rsidRPr="00612500" w:rsidRDefault="00EB50A9" w:rsidP="0026734F">
            <w:pPr>
              <w:pStyle w:val="Nessunaspaziatura"/>
              <w:jc w:val="left"/>
              <w:rPr>
                <w:rFonts w:ascii="Calibri" w:hAnsi="Calibri"/>
              </w:rPr>
            </w:pPr>
            <w:r w:rsidRPr="00612500">
              <w:rPr>
                <w:rFonts w:ascii="Calibri" w:hAnsi="Calibri"/>
              </w:rPr>
              <w:lastRenderedPageBreak/>
              <w:t xml:space="preserve">Policy </w:t>
            </w:r>
          </w:p>
        </w:tc>
        <w:tc>
          <w:tcPr>
            <w:tcW w:w="0" w:type="auto"/>
          </w:tcPr>
          <w:p w:rsidR="00EB50A9" w:rsidRPr="00612500" w:rsidRDefault="00EB50A9" w:rsidP="0026734F">
            <w:pPr>
              <w:pStyle w:val="Nessunaspaziatura"/>
              <w:jc w:val="left"/>
              <w:cnfStyle w:val="100000000000"/>
              <w:rPr>
                <w:rFonts w:ascii="Calibri" w:hAnsi="Calibri"/>
              </w:rPr>
            </w:pPr>
            <w:r w:rsidRPr="00612500">
              <w:rPr>
                <w:rFonts w:ascii="Calibri" w:hAnsi="Calibri"/>
              </w:rPr>
              <w:t>Ambitions</w:t>
            </w:r>
          </w:p>
        </w:tc>
        <w:tc>
          <w:tcPr>
            <w:tcW w:w="0" w:type="auto"/>
          </w:tcPr>
          <w:p w:rsidR="00EB50A9" w:rsidRPr="00612500" w:rsidRDefault="00EB50A9" w:rsidP="0026734F">
            <w:pPr>
              <w:pStyle w:val="Nessunaspaziatura"/>
              <w:jc w:val="left"/>
              <w:cnfStyle w:val="100000000000"/>
              <w:rPr>
                <w:rFonts w:ascii="Calibri" w:hAnsi="Calibri"/>
              </w:rPr>
            </w:pPr>
            <w:r w:rsidRPr="00612500">
              <w:rPr>
                <w:rFonts w:ascii="Calibri" w:hAnsi="Calibri"/>
              </w:rPr>
              <w:t>Policy Measures</w:t>
            </w:r>
          </w:p>
        </w:tc>
        <w:tc>
          <w:tcPr>
            <w:tcW w:w="0" w:type="auto"/>
          </w:tcPr>
          <w:p w:rsidR="00EB50A9" w:rsidRPr="00612500" w:rsidRDefault="00EB50A9" w:rsidP="0026734F">
            <w:pPr>
              <w:pStyle w:val="Nessunaspaziatura"/>
              <w:jc w:val="left"/>
              <w:cnfStyle w:val="100000000000"/>
              <w:rPr>
                <w:rFonts w:ascii="Calibri" w:hAnsi="Calibri"/>
              </w:rPr>
            </w:pPr>
            <w:r w:rsidRPr="00612500">
              <w:rPr>
                <w:rFonts w:ascii="Calibri" w:hAnsi="Calibri"/>
              </w:rPr>
              <w:t>Financial Incentives</w:t>
            </w:r>
          </w:p>
        </w:tc>
      </w:tr>
      <w:tr w:rsidR="0030785C" w:rsidRPr="00612500" w:rsidTr="0026734F">
        <w:trPr>
          <w:cantSplit/>
        </w:trPr>
        <w:tc>
          <w:tcPr>
            <w:cnfStyle w:val="001000000000"/>
            <w:tcW w:w="0" w:type="auto"/>
          </w:tcPr>
          <w:p w:rsidR="00EB50A9" w:rsidRPr="00612500" w:rsidRDefault="00170573" w:rsidP="0026734F">
            <w:pPr>
              <w:pStyle w:val="Nessunaspaziatura"/>
              <w:jc w:val="left"/>
              <w:rPr>
                <w:rFonts w:ascii="Calibri" w:hAnsi="Calibri"/>
              </w:rPr>
            </w:pPr>
            <w:r w:rsidRPr="00612500">
              <w:rPr>
                <w:rFonts w:ascii="Calibri" w:hAnsi="Calibri"/>
              </w:rPr>
              <w:t xml:space="preserve">Tax regulation mechanism (exoneration d'accise pour l'huile de colza) -   (Arrêté du 10 </w:t>
            </w:r>
            <w:r w:rsidR="001F6D94" w:rsidRPr="00612500">
              <w:rPr>
                <w:rFonts w:ascii="Calibri" w:hAnsi="Calibri"/>
              </w:rPr>
              <w:t>M</w:t>
            </w:r>
            <w:r w:rsidRPr="00612500">
              <w:rPr>
                <w:rFonts w:ascii="Calibri" w:hAnsi="Calibri"/>
              </w:rPr>
              <w:t xml:space="preserve">ars 2006) </w:t>
            </w:r>
          </w:p>
        </w:tc>
        <w:tc>
          <w:tcPr>
            <w:tcW w:w="0" w:type="auto"/>
          </w:tcPr>
          <w:p w:rsidR="00EB50A9" w:rsidRPr="00612500" w:rsidRDefault="006665E1" w:rsidP="0026734F">
            <w:pPr>
              <w:pStyle w:val="Nessunaspaziatura"/>
              <w:jc w:val="left"/>
              <w:cnfStyle w:val="000000000000"/>
              <w:rPr>
                <w:rFonts w:ascii="Calibri" w:hAnsi="Calibri"/>
              </w:rPr>
            </w:pPr>
            <w:r w:rsidRPr="00612500">
              <w:rPr>
                <w:rFonts w:ascii="Calibri" w:hAnsi="Calibri"/>
              </w:rPr>
              <w:t>R</w:t>
            </w:r>
            <w:r w:rsidR="00170573" w:rsidRPr="00612500">
              <w:rPr>
                <w:rFonts w:ascii="Calibri" w:hAnsi="Calibri"/>
              </w:rPr>
              <w:t xml:space="preserve">apeseed oil </w:t>
            </w:r>
            <w:r w:rsidRPr="00612500">
              <w:rPr>
                <w:rFonts w:ascii="Calibri" w:hAnsi="Calibri"/>
              </w:rPr>
              <w:t xml:space="preserve">fuel to be totally exempt </w:t>
            </w:r>
            <w:r w:rsidR="00170573" w:rsidRPr="00612500">
              <w:rPr>
                <w:rFonts w:ascii="Calibri" w:hAnsi="Calibri"/>
              </w:rPr>
              <w:t>of excise duty</w:t>
            </w:r>
          </w:p>
        </w:tc>
        <w:tc>
          <w:tcPr>
            <w:tcW w:w="0" w:type="auto"/>
          </w:tcPr>
          <w:p w:rsidR="00EB50A9" w:rsidRPr="00612500" w:rsidRDefault="00170573" w:rsidP="0026734F">
            <w:pPr>
              <w:pStyle w:val="Nessunaspaziatura"/>
              <w:jc w:val="left"/>
              <w:cnfStyle w:val="000000000000"/>
              <w:rPr>
                <w:rFonts w:ascii="Calibri" w:hAnsi="Calibri"/>
              </w:rPr>
            </w:pPr>
            <w:r w:rsidRPr="00612500">
              <w:rPr>
                <w:rFonts w:ascii="Calibri" w:hAnsi="Calibri"/>
              </w:rPr>
              <w:t>Subject to the exemption of excise duty are only biofuels from rapeseed oil</w:t>
            </w:r>
            <w:r w:rsidR="006665E1" w:rsidRPr="00612500">
              <w:rPr>
                <w:rFonts w:ascii="Calibri" w:hAnsi="Calibri"/>
              </w:rPr>
              <w:t xml:space="preserve"> that1) </w:t>
            </w:r>
            <w:r w:rsidRPr="00612500">
              <w:rPr>
                <w:rFonts w:ascii="Calibri" w:hAnsi="Calibri"/>
              </w:rPr>
              <w:t>shall be used as a</w:t>
            </w:r>
            <w:r w:rsidR="006665E1" w:rsidRPr="00612500">
              <w:rPr>
                <w:rFonts w:ascii="Calibri" w:hAnsi="Calibri"/>
              </w:rPr>
              <w:t xml:space="preserve"> biofuel under the code NC 1514, and 2) t</w:t>
            </w:r>
            <w:r w:rsidRPr="00612500">
              <w:rPr>
                <w:rFonts w:ascii="Calibri" w:hAnsi="Calibri"/>
              </w:rPr>
              <w:t>he natural or legal person producing the rapeseed oil shall sell it to the end consumer without intermediary.</w:t>
            </w:r>
          </w:p>
        </w:tc>
        <w:tc>
          <w:tcPr>
            <w:tcW w:w="0" w:type="auto"/>
          </w:tcPr>
          <w:p w:rsidR="00EB50A9" w:rsidRPr="00612500" w:rsidRDefault="00EB50A9" w:rsidP="0026734F">
            <w:pPr>
              <w:pStyle w:val="Nessunaspaziatura"/>
              <w:jc w:val="left"/>
              <w:cnfStyle w:val="000000000000"/>
              <w:rPr>
                <w:rFonts w:ascii="Calibri" w:hAnsi="Calibri"/>
              </w:rPr>
            </w:pPr>
          </w:p>
        </w:tc>
      </w:tr>
      <w:tr w:rsidR="00170573" w:rsidRPr="00612500" w:rsidTr="0026734F">
        <w:trPr>
          <w:cantSplit/>
        </w:trPr>
        <w:tc>
          <w:tcPr>
            <w:cnfStyle w:val="001000000000"/>
            <w:tcW w:w="0" w:type="auto"/>
          </w:tcPr>
          <w:p w:rsidR="00170573" w:rsidRPr="00612500" w:rsidRDefault="00170573" w:rsidP="0026734F">
            <w:pPr>
              <w:pStyle w:val="Nessunaspaziatura"/>
              <w:jc w:val="left"/>
              <w:rPr>
                <w:rFonts w:ascii="Calibri" w:hAnsi="Calibri"/>
              </w:rPr>
            </w:pPr>
            <w:r w:rsidRPr="00612500">
              <w:rPr>
                <w:rFonts w:ascii="Calibri" w:hAnsi="Calibri"/>
              </w:rPr>
              <w:t>Tax regulation mechanism (défiscalisation des biocarburants)</w:t>
            </w:r>
            <w:r w:rsidR="00BF1560" w:rsidRPr="00612500">
              <w:rPr>
                <w:rFonts w:ascii="Calibri" w:hAnsi="Calibri"/>
              </w:rPr>
              <w:t xml:space="preserve">-10/06/2006 </w:t>
            </w:r>
            <w:r w:rsidRPr="00612500">
              <w:rPr>
                <w:rFonts w:ascii="Calibri" w:hAnsi="Calibri"/>
              </w:rPr>
              <w:t xml:space="preserve">Art. 4 Loi des Finances du 10 </w:t>
            </w:r>
            <w:r w:rsidR="001F6D94" w:rsidRPr="00612500">
              <w:rPr>
                <w:rFonts w:ascii="Calibri" w:hAnsi="Calibri"/>
              </w:rPr>
              <w:t>J</w:t>
            </w:r>
            <w:r w:rsidRPr="00612500">
              <w:rPr>
                <w:rFonts w:ascii="Calibri" w:hAnsi="Calibri"/>
              </w:rPr>
              <w:t>uin 2006)</w:t>
            </w:r>
          </w:p>
        </w:tc>
        <w:tc>
          <w:tcPr>
            <w:tcW w:w="0" w:type="auto"/>
          </w:tcPr>
          <w:p w:rsidR="00170573" w:rsidRPr="00612500" w:rsidRDefault="00170573" w:rsidP="0026734F">
            <w:pPr>
              <w:pStyle w:val="Nessunaspaziatura"/>
              <w:jc w:val="left"/>
              <w:cnfStyle w:val="000000000000"/>
              <w:rPr>
                <w:rFonts w:ascii="Calibri" w:hAnsi="Calibri"/>
              </w:rPr>
            </w:pPr>
            <w:r w:rsidRPr="00612500">
              <w:rPr>
                <w:rFonts w:ascii="Calibri" w:hAnsi="Calibri"/>
              </w:rPr>
              <w:t xml:space="preserve">Encourage the uptake of biofuels in the fossil fuel pool.  </w:t>
            </w:r>
          </w:p>
        </w:tc>
        <w:tc>
          <w:tcPr>
            <w:tcW w:w="0" w:type="auto"/>
          </w:tcPr>
          <w:p w:rsidR="00BF4249" w:rsidRPr="00612500" w:rsidRDefault="00170573" w:rsidP="0026734F">
            <w:pPr>
              <w:pStyle w:val="Nessunaspaziatura"/>
              <w:jc w:val="left"/>
              <w:cnfStyle w:val="000000000000"/>
              <w:rPr>
                <w:rFonts w:ascii="Calibri" w:hAnsi="Calibri"/>
              </w:rPr>
            </w:pPr>
            <w:r w:rsidRPr="00612500">
              <w:rPr>
                <w:rFonts w:ascii="Calibri" w:hAnsi="Calibri"/>
              </w:rPr>
              <w:t>It introduces a reduction of the excise rate of biofuels contained in petrol and diesel products and produced by units authorised by the Belgian Government. To that purpose, the Accreditation Commission publishes calls for applications in the official register of the European Union. The accreditation is delivered to the companies for a period of maximum six years</w:t>
            </w:r>
          </w:p>
          <w:p w:rsidR="00BF4249" w:rsidRPr="00612500" w:rsidRDefault="00BF4249" w:rsidP="0026734F">
            <w:pPr>
              <w:pStyle w:val="Nessunaspaziatura"/>
              <w:jc w:val="left"/>
              <w:cnfStyle w:val="000000000000"/>
              <w:rPr>
                <w:rFonts w:ascii="Calibri" w:hAnsi="Calibri"/>
              </w:rPr>
            </w:pPr>
            <w:r w:rsidRPr="00612500">
              <w:rPr>
                <w:rFonts w:ascii="Calibri" w:hAnsi="Calibri"/>
              </w:rPr>
              <w:t xml:space="preserve">However, the maximum eligible amount of biofuels of the authorised production units shall not exceed:  </w:t>
            </w:r>
          </w:p>
          <w:p w:rsidR="00BF4249" w:rsidRPr="00612500" w:rsidRDefault="00BF4249" w:rsidP="0026734F">
            <w:pPr>
              <w:pStyle w:val="Nessunaspaziatura"/>
              <w:jc w:val="left"/>
              <w:cnfStyle w:val="000000000000"/>
              <w:rPr>
                <w:rFonts w:ascii="Calibri" w:hAnsi="Calibri"/>
              </w:rPr>
            </w:pPr>
            <w:r w:rsidRPr="00612500">
              <w:rPr>
                <w:rFonts w:ascii="Calibri" w:hAnsi="Calibri"/>
              </w:rPr>
              <w:t>For bioethanol: 187,500,000 litres until 30 September 2013. </w:t>
            </w:r>
          </w:p>
          <w:p w:rsidR="00170573" w:rsidRPr="00612500" w:rsidRDefault="00BF4249" w:rsidP="0026734F">
            <w:pPr>
              <w:pStyle w:val="Nessunaspaziatura"/>
              <w:jc w:val="left"/>
              <w:cnfStyle w:val="000000000000"/>
              <w:rPr>
                <w:rFonts w:ascii="Calibri" w:hAnsi="Calibri"/>
              </w:rPr>
            </w:pPr>
            <w:r w:rsidRPr="00612500">
              <w:rPr>
                <w:rFonts w:ascii="Calibri" w:hAnsi="Calibri"/>
              </w:rPr>
              <w:t>For FAME: 284,000,000 litres until 30 September 2013.</w:t>
            </w:r>
          </w:p>
        </w:tc>
        <w:tc>
          <w:tcPr>
            <w:tcW w:w="0" w:type="auto"/>
          </w:tcPr>
          <w:p w:rsidR="00170573" w:rsidRPr="00612500" w:rsidRDefault="0030785C" w:rsidP="0026734F">
            <w:pPr>
              <w:pStyle w:val="Nessunaspaziatura"/>
              <w:jc w:val="left"/>
              <w:cnfStyle w:val="000000000000"/>
              <w:rPr>
                <w:rFonts w:ascii="Calibri" w:hAnsi="Calibri"/>
              </w:rPr>
            </w:pPr>
            <w:r w:rsidRPr="00612500">
              <w:rPr>
                <w:rFonts w:ascii="Calibri" w:hAnsi="Calibri"/>
              </w:rPr>
              <w:t>Excise f</w:t>
            </w:r>
            <w:r w:rsidR="00170573" w:rsidRPr="00612500">
              <w:rPr>
                <w:rFonts w:ascii="Calibri" w:hAnsi="Calibri"/>
              </w:rPr>
              <w:t>or petrol products containing at least 10% v/v bio</w:t>
            </w:r>
            <w:r w:rsidRPr="00612500">
              <w:rPr>
                <w:rFonts w:ascii="Calibri" w:hAnsi="Calibri"/>
              </w:rPr>
              <w:t>ethanol: €</w:t>
            </w:r>
            <w:r w:rsidR="00170573" w:rsidRPr="00612500">
              <w:rPr>
                <w:rFonts w:ascii="Calibri" w:hAnsi="Calibri"/>
              </w:rPr>
              <w:t>245.4146 per 1,</w:t>
            </w:r>
            <w:r w:rsidR="00643943" w:rsidRPr="00612500">
              <w:rPr>
                <w:rFonts w:ascii="Calibri" w:hAnsi="Calibri"/>
              </w:rPr>
              <w:t>000</w:t>
            </w:r>
            <w:r w:rsidRPr="00612500">
              <w:rPr>
                <w:rFonts w:ascii="Calibri" w:hAnsi="Calibri"/>
              </w:rPr>
              <w:t xml:space="preserve"> litres</w:t>
            </w:r>
            <w:r w:rsidR="00170573" w:rsidRPr="00612500">
              <w:rPr>
                <w:rFonts w:ascii="Calibri" w:hAnsi="Calibri"/>
              </w:rPr>
              <w:t>; </w:t>
            </w:r>
          </w:p>
          <w:p w:rsidR="00170573" w:rsidRPr="00612500" w:rsidRDefault="0030785C" w:rsidP="0026734F">
            <w:pPr>
              <w:pStyle w:val="Nessunaspaziatura"/>
              <w:jc w:val="left"/>
              <w:cnfStyle w:val="000000000000"/>
              <w:rPr>
                <w:rFonts w:ascii="Calibri" w:hAnsi="Calibri"/>
              </w:rPr>
            </w:pPr>
            <w:r w:rsidRPr="00612500">
              <w:rPr>
                <w:rFonts w:ascii="Calibri" w:hAnsi="Calibri"/>
              </w:rPr>
              <w:t>Excise f</w:t>
            </w:r>
            <w:r w:rsidR="00170573" w:rsidRPr="00612500">
              <w:rPr>
                <w:rFonts w:ascii="Calibri" w:hAnsi="Calibri"/>
              </w:rPr>
              <w:t>or diesel products con</w:t>
            </w:r>
            <w:r w:rsidR="00643943" w:rsidRPr="00612500">
              <w:rPr>
                <w:rFonts w:ascii="Calibri" w:hAnsi="Calibri"/>
              </w:rPr>
              <w:t>taining at least 7% v/v of FAME</w:t>
            </w:r>
            <w:r w:rsidRPr="00612500">
              <w:rPr>
                <w:rFonts w:ascii="Calibri" w:hAnsi="Calibri"/>
              </w:rPr>
              <w:t>: €</w:t>
            </w:r>
            <w:r w:rsidR="00170573" w:rsidRPr="00612500">
              <w:rPr>
                <w:rFonts w:ascii="Calibri" w:hAnsi="Calibri"/>
              </w:rPr>
              <w:t>198.3148 per 1,000 litres. </w:t>
            </w:r>
          </w:p>
          <w:p w:rsidR="00170573" w:rsidRPr="00612500" w:rsidRDefault="00170573" w:rsidP="0026734F">
            <w:pPr>
              <w:pStyle w:val="Nessunaspaziatura"/>
              <w:jc w:val="left"/>
              <w:cnfStyle w:val="000000000000"/>
              <w:rPr>
                <w:rFonts w:ascii="Calibri" w:hAnsi="Calibri"/>
              </w:rPr>
            </w:pPr>
          </w:p>
        </w:tc>
      </w:tr>
      <w:tr w:rsidR="0030785C" w:rsidRPr="00612500" w:rsidTr="0026734F">
        <w:trPr>
          <w:cantSplit/>
        </w:trPr>
        <w:tc>
          <w:tcPr>
            <w:cnfStyle w:val="001000000000"/>
            <w:tcW w:w="0" w:type="auto"/>
          </w:tcPr>
          <w:p w:rsidR="00170573" w:rsidRPr="00612500" w:rsidRDefault="00170573" w:rsidP="0026734F">
            <w:pPr>
              <w:pStyle w:val="Nessunaspaziatura"/>
              <w:jc w:val="left"/>
              <w:rPr>
                <w:rFonts w:ascii="Calibri" w:hAnsi="Calibri"/>
              </w:rPr>
            </w:pPr>
            <w:r w:rsidRPr="00612500">
              <w:rPr>
                <w:rFonts w:ascii="Calibri" w:hAnsi="Calibri"/>
              </w:rPr>
              <w:t>Royal Decree 22/11/2006</w:t>
            </w:r>
            <w:r w:rsidR="006A3FF5" w:rsidRPr="00612500">
              <w:rPr>
                <w:rStyle w:val="Rimandonotaapidipagina"/>
                <w:rFonts w:ascii="Calibri" w:hAnsi="Calibri"/>
                <w:vertAlign w:val="baseline"/>
              </w:rPr>
              <w:footnoteReference w:id="7"/>
            </w:r>
          </w:p>
        </w:tc>
        <w:tc>
          <w:tcPr>
            <w:tcW w:w="0" w:type="auto"/>
          </w:tcPr>
          <w:p w:rsidR="00170573" w:rsidRPr="00612500" w:rsidRDefault="00170573" w:rsidP="0026734F">
            <w:pPr>
              <w:pStyle w:val="Nessunaspaziatura"/>
              <w:jc w:val="left"/>
              <w:cnfStyle w:val="000000000000"/>
              <w:rPr>
                <w:rFonts w:ascii="Calibri" w:hAnsi="Calibri"/>
              </w:rPr>
            </w:pPr>
            <w:r w:rsidRPr="00612500">
              <w:rPr>
                <w:rFonts w:ascii="Calibri" w:hAnsi="Calibri"/>
              </w:rPr>
              <w:t>Defines the rules for the marketing of biofuels which are not standardised</w:t>
            </w:r>
          </w:p>
        </w:tc>
        <w:tc>
          <w:tcPr>
            <w:tcW w:w="0" w:type="auto"/>
          </w:tcPr>
          <w:p w:rsidR="00F864DC" w:rsidRPr="00612500" w:rsidRDefault="00170573" w:rsidP="0026734F">
            <w:pPr>
              <w:pStyle w:val="Nessunaspaziatura"/>
              <w:jc w:val="left"/>
              <w:cnfStyle w:val="000000000000"/>
              <w:rPr>
                <w:rFonts w:ascii="Calibri" w:hAnsi="Calibri"/>
              </w:rPr>
            </w:pPr>
            <w:r w:rsidRPr="00612500">
              <w:rPr>
                <w:rFonts w:ascii="Calibri" w:hAnsi="Calibri"/>
              </w:rPr>
              <w:t>These rules are valid for diesel containing more than 5% (v/v) of biodiesel, gasoline containing more than 5% (v/v) ethanol</w:t>
            </w:r>
            <w:r w:rsidR="0047410E" w:rsidRPr="00612500">
              <w:rPr>
                <w:rFonts w:ascii="Calibri" w:hAnsi="Calibri"/>
              </w:rPr>
              <w:t xml:space="preserve">, or </w:t>
            </w:r>
            <w:r w:rsidRPr="00612500">
              <w:rPr>
                <w:rFonts w:ascii="Calibri" w:hAnsi="Calibri"/>
              </w:rPr>
              <w:t xml:space="preserve">pure rapeseed oil. It indicates that the exemption decision may be granted for non-standardised biofuels when they are sold from a limited number of parties in the context of a specific project or to the final consumer of rapeseed. </w:t>
            </w:r>
          </w:p>
          <w:p w:rsidR="00170573" w:rsidRPr="00612500" w:rsidRDefault="00F864DC" w:rsidP="0026734F">
            <w:pPr>
              <w:pStyle w:val="Nessunaspaziatura"/>
              <w:jc w:val="left"/>
              <w:cnfStyle w:val="000000000000"/>
              <w:rPr>
                <w:rFonts w:ascii="Calibri" w:hAnsi="Calibri"/>
              </w:rPr>
            </w:pPr>
            <w:r w:rsidRPr="00612500">
              <w:rPr>
                <w:rFonts w:ascii="Calibri" w:hAnsi="Calibri"/>
              </w:rPr>
              <w:t>Waivers are valid for a period of three years and may be extended for a further period of three years based on a new application. It may be withdrawn in the event of non-compliance with permit conditions.</w:t>
            </w:r>
          </w:p>
        </w:tc>
        <w:tc>
          <w:tcPr>
            <w:tcW w:w="0" w:type="auto"/>
          </w:tcPr>
          <w:p w:rsidR="00170573" w:rsidRPr="00612500" w:rsidRDefault="00170573" w:rsidP="0026734F">
            <w:pPr>
              <w:pStyle w:val="Nessunaspaziatura"/>
              <w:jc w:val="left"/>
              <w:cnfStyle w:val="000000000000"/>
              <w:rPr>
                <w:rFonts w:ascii="Calibri" w:hAnsi="Calibri"/>
              </w:rPr>
            </w:pPr>
          </w:p>
        </w:tc>
      </w:tr>
      <w:tr w:rsidR="00170573" w:rsidRPr="00612500" w:rsidTr="0026734F">
        <w:trPr>
          <w:cantSplit/>
          <w:trHeight w:val="2390"/>
        </w:trPr>
        <w:tc>
          <w:tcPr>
            <w:cnfStyle w:val="001000000000"/>
            <w:tcW w:w="0" w:type="auto"/>
          </w:tcPr>
          <w:p w:rsidR="00170573" w:rsidRPr="00612500" w:rsidRDefault="00170573" w:rsidP="0026734F">
            <w:pPr>
              <w:pStyle w:val="Nessunaspaziatura"/>
              <w:jc w:val="left"/>
              <w:rPr>
                <w:rFonts w:ascii="Calibri" w:hAnsi="Calibri"/>
              </w:rPr>
            </w:pPr>
            <w:r w:rsidRPr="00612500">
              <w:rPr>
                <w:rFonts w:ascii="Calibri" w:hAnsi="Calibri"/>
              </w:rPr>
              <w:lastRenderedPageBreak/>
              <w:t xml:space="preserve">Biofuel quota -Royal Decree 22/07/2009    (obligation d'incorporation des biocarburants Art. 4 Loi du 22 </w:t>
            </w:r>
            <w:r w:rsidR="00CE110A" w:rsidRPr="00612500">
              <w:rPr>
                <w:rFonts w:ascii="Calibri" w:hAnsi="Calibri"/>
              </w:rPr>
              <w:t>J</w:t>
            </w:r>
            <w:r w:rsidRPr="00612500">
              <w:rPr>
                <w:rFonts w:ascii="Calibri" w:hAnsi="Calibri"/>
              </w:rPr>
              <w:t>uillet 2009)</w:t>
            </w:r>
            <w:r w:rsidRPr="00612500">
              <w:rPr>
                <w:rStyle w:val="Rimandonotaapidipagina"/>
                <w:rFonts w:ascii="Calibri" w:hAnsi="Calibri"/>
                <w:vertAlign w:val="baseline"/>
              </w:rPr>
              <w:footnoteReference w:id="8"/>
            </w:r>
          </w:p>
        </w:tc>
        <w:tc>
          <w:tcPr>
            <w:tcW w:w="0" w:type="auto"/>
          </w:tcPr>
          <w:p w:rsidR="00170573" w:rsidRPr="00612500" w:rsidRDefault="00170573" w:rsidP="0026734F">
            <w:pPr>
              <w:pStyle w:val="Nessunaspaziatura"/>
              <w:jc w:val="left"/>
              <w:cnfStyle w:val="000000000000"/>
              <w:rPr>
                <w:rFonts w:ascii="Calibri" w:hAnsi="Calibri"/>
              </w:rPr>
            </w:pPr>
            <w:r w:rsidRPr="00612500">
              <w:rPr>
                <w:rFonts w:ascii="Calibri" w:hAnsi="Calibri"/>
              </w:rPr>
              <w:t xml:space="preserve">Promotes the blending of biofuels into the fossil fuel pool.  </w:t>
            </w:r>
          </w:p>
        </w:tc>
        <w:tc>
          <w:tcPr>
            <w:tcW w:w="0" w:type="auto"/>
          </w:tcPr>
          <w:p w:rsidR="00170573" w:rsidRPr="00612500" w:rsidRDefault="00170573" w:rsidP="0026734F">
            <w:pPr>
              <w:pStyle w:val="Nessunaspaziatura"/>
              <w:jc w:val="left"/>
              <w:cnfStyle w:val="000000000000"/>
              <w:rPr>
                <w:rFonts w:ascii="Calibri" w:hAnsi="Calibri"/>
              </w:rPr>
            </w:pPr>
            <w:r w:rsidRPr="00612500">
              <w:rPr>
                <w:rFonts w:ascii="Calibri" w:hAnsi="Calibri"/>
              </w:rPr>
              <w:t>The providers of petrol or diesel fuels have to ensure that biofuels make up at least 4 % of the company’s total annual sale of fuel. The obligation must be fulfilled by the end of each calendar year. The following rates apply:</w:t>
            </w:r>
          </w:p>
          <w:p w:rsidR="00170573" w:rsidRPr="00612500" w:rsidRDefault="00170573" w:rsidP="0026734F">
            <w:pPr>
              <w:pStyle w:val="Nessunaspaziatura"/>
              <w:jc w:val="left"/>
              <w:cnfStyle w:val="000000000000"/>
              <w:rPr>
                <w:rFonts w:ascii="Calibri" w:hAnsi="Calibri"/>
              </w:rPr>
            </w:pPr>
            <w:r w:rsidRPr="00612500">
              <w:rPr>
                <w:rFonts w:ascii="Calibri" w:hAnsi="Calibri"/>
              </w:rPr>
              <w:t>FAME (fatty acid methyl ester): at least 4% v/v of the diesel amount </w:t>
            </w:r>
          </w:p>
          <w:p w:rsidR="00170573" w:rsidRPr="00612500" w:rsidRDefault="00170573" w:rsidP="0026734F">
            <w:pPr>
              <w:pStyle w:val="Nessunaspaziatura"/>
              <w:jc w:val="left"/>
              <w:cnfStyle w:val="000000000000"/>
              <w:rPr>
                <w:rFonts w:ascii="Calibri" w:hAnsi="Calibri"/>
              </w:rPr>
            </w:pPr>
            <w:r w:rsidRPr="00612500">
              <w:rPr>
                <w:rFonts w:ascii="Calibri" w:hAnsi="Calibri"/>
              </w:rPr>
              <w:t>Bioethanol or Bio-ETBE: at least 4% v/v of the petrol amount.</w:t>
            </w:r>
          </w:p>
        </w:tc>
        <w:tc>
          <w:tcPr>
            <w:tcW w:w="0" w:type="auto"/>
          </w:tcPr>
          <w:p w:rsidR="00170573" w:rsidRPr="00612500" w:rsidRDefault="00170573" w:rsidP="0026734F">
            <w:pPr>
              <w:pStyle w:val="Nessunaspaziatura"/>
              <w:jc w:val="left"/>
              <w:cnfStyle w:val="000000000000"/>
              <w:rPr>
                <w:rFonts w:ascii="Calibri" w:hAnsi="Calibri"/>
              </w:rPr>
            </w:pPr>
            <w:r w:rsidRPr="00612500">
              <w:rPr>
                <w:rFonts w:ascii="Calibri" w:hAnsi="Calibri"/>
              </w:rPr>
              <w:t xml:space="preserve">If a provider fails to fulfil the quota </w:t>
            </w:r>
            <w:r w:rsidR="00CE110A" w:rsidRPr="00612500">
              <w:rPr>
                <w:rFonts w:ascii="Calibri" w:hAnsi="Calibri"/>
              </w:rPr>
              <w:t>t</w:t>
            </w:r>
            <w:r w:rsidRPr="00612500">
              <w:rPr>
                <w:rFonts w:ascii="Calibri" w:hAnsi="Calibri"/>
              </w:rPr>
              <w:t>he</w:t>
            </w:r>
            <w:r w:rsidR="00CE110A" w:rsidRPr="00612500">
              <w:rPr>
                <w:rFonts w:ascii="Calibri" w:hAnsi="Calibri"/>
              </w:rPr>
              <w:t>y</w:t>
            </w:r>
            <w:r w:rsidRPr="00612500">
              <w:rPr>
                <w:rFonts w:ascii="Calibri" w:hAnsi="Calibri"/>
              </w:rPr>
              <w:t xml:space="preserve"> shall pay a fine </w:t>
            </w:r>
            <w:r w:rsidR="00F864DC" w:rsidRPr="00612500">
              <w:rPr>
                <w:rFonts w:ascii="Calibri" w:hAnsi="Calibri"/>
              </w:rPr>
              <w:t>amounting to €</w:t>
            </w:r>
            <w:r w:rsidRPr="00612500">
              <w:rPr>
                <w:rFonts w:ascii="Calibri" w:hAnsi="Calibri"/>
              </w:rPr>
              <w:t xml:space="preserve">900 per 1,000 litres of biofuel that was not blended with the annual amount of petrol or diesel products sold. </w:t>
            </w:r>
          </w:p>
        </w:tc>
      </w:tr>
      <w:tr w:rsidR="0030785C" w:rsidRPr="00612500" w:rsidTr="0026734F">
        <w:trPr>
          <w:cantSplit/>
        </w:trPr>
        <w:tc>
          <w:tcPr>
            <w:cnfStyle w:val="001000000000"/>
            <w:tcW w:w="0" w:type="auto"/>
          </w:tcPr>
          <w:p w:rsidR="00915462" w:rsidRPr="00612500" w:rsidRDefault="00170573" w:rsidP="0026734F">
            <w:pPr>
              <w:pStyle w:val="Nessunaspaziatura"/>
              <w:jc w:val="left"/>
              <w:rPr>
                <w:rFonts w:ascii="Calibri" w:hAnsi="Calibri"/>
              </w:rPr>
            </w:pPr>
            <w:r w:rsidRPr="00612500">
              <w:rPr>
                <w:rFonts w:ascii="Calibri" w:hAnsi="Calibri"/>
              </w:rPr>
              <w:t>Royal Decree 26/11/2011</w:t>
            </w:r>
            <w:r w:rsidR="009509BF" w:rsidRPr="00612500">
              <w:rPr>
                <w:rStyle w:val="Rimandonotaapidipagina"/>
                <w:rFonts w:ascii="Calibri" w:hAnsi="Calibri"/>
                <w:vertAlign w:val="baseline"/>
              </w:rPr>
              <w:footnoteReference w:id="9"/>
            </w:r>
          </w:p>
          <w:p w:rsidR="009509BF" w:rsidRPr="00612500" w:rsidRDefault="009509BF" w:rsidP="0026734F">
            <w:pPr>
              <w:pStyle w:val="Nessunaspaziatura"/>
              <w:jc w:val="left"/>
              <w:rPr>
                <w:rFonts w:ascii="Calibri" w:hAnsi="Calibri"/>
              </w:rPr>
            </w:pPr>
            <w:r w:rsidRPr="00612500">
              <w:rPr>
                <w:rFonts w:ascii="Calibri" w:hAnsi="Calibri"/>
              </w:rPr>
              <w:t>numac 201102435</w:t>
            </w:r>
          </w:p>
          <w:p w:rsidR="009509BF" w:rsidRPr="00612500" w:rsidRDefault="009509BF" w:rsidP="0026734F">
            <w:pPr>
              <w:pStyle w:val="Nessunaspaziatura"/>
              <w:jc w:val="left"/>
              <w:rPr>
                <w:rFonts w:ascii="Calibri" w:hAnsi="Calibri"/>
              </w:rPr>
            </w:pPr>
            <w:r w:rsidRPr="00612500">
              <w:rPr>
                <w:rFonts w:ascii="Calibri" w:hAnsi="Calibri"/>
              </w:rPr>
              <w:t xml:space="preserve">pub. 07/12/2011 </w:t>
            </w:r>
          </w:p>
          <w:p w:rsidR="009509BF" w:rsidRPr="00612500" w:rsidRDefault="009509BF" w:rsidP="0026734F">
            <w:pPr>
              <w:pStyle w:val="Nessunaspaziatura"/>
              <w:jc w:val="left"/>
              <w:rPr>
                <w:rFonts w:ascii="Calibri" w:hAnsi="Calibri"/>
              </w:rPr>
            </w:pPr>
          </w:p>
        </w:tc>
        <w:tc>
          <w:tcPr>
            <w:tcW w:w="0" w:type="auto"/>
          </w:tcPr>
          <w:p w:rsidR="00170573" w:rsidRPr="00612500" w:rsidRDefault="009509BF" w:rsidP="0026734F">
            <w:pPr>
              <w:pStyle w:val="Nessunaspaziatura"/>
              <w:jc w:val="left"/>
              <w:cnfStyle w:val="000000000000"/>
              <w:rPr>
                <w:rFonts w:ascii="Calibri" w:hAnsi="Calibri"/>
              </w:rPr>
            </w:pPr>
            <w:r w:rsidRPr="00612500">
              <w:rPr>
                <w:rStyle w:val="ptitle"/>
                <w:rFonts w:ascii="Calibri" w:hAnsi="Calibri"/>
              </w:rPr>
              <w:t>Royal Decree establishing product standards for biofuels</w:t>
            </w:r>
          </w:p>
        </w:tc>
        <w:tc>
          <w:tcPr>
            <w:tcW w:w="0" w:type="auto"/>
          </w:tcPr>
          <w:p w:rsidR="00170573" w:rsidRPr="00612500" w:rsidRDefault="00170573" w:rsidP="0026734F">
            <w:pPr>
              <w:pStyle w:val="Nessunaspaziatura"/>
              <w:jc w:val="left"/>
              <w:cnfStyle w:val="000000000000"/>
              <w:rPr>
                <w:rFonts w:ascii="Calibri" w:hAnsi="Calibri"/>
              </w:rPr>
            </w:pPr>
            <w:r w:rsidRPr="00612500">
              <w:rPr>
                <w:rFonts w:ascii="Calibri" w:hAnsi="Calibri"/>
              </w:rPr>
              <w:t>Transposes the sustainability criteria for biofuels from the RED 2009/28/EC and FQD 2009/30/EC and determines which are the sustainability criteria and reporting obligations to be applied to biofuels. The BioFuel database, which will provide a register for biofuels production and declarations of the sustainability of the products,</w:t>
            </w:r>
            <w:r w:rsidR="00702D2B" w:rsidRPr="00612500">
              <w:rPr>
                <w:rFonts w:ascii="Calibri" w:hAnsi="Calibri"/>
              </w:rPr>
              <w:t xml:space="preserve"> which</w:t>
            </w:r>
            <w:r w:rsidRPr="00612500">
              <w:rPr>
                <w:rFonts w:ascii="Calibri" w:hAnsi="Calibri"/>
              </w:rPr>
              <w:t xml:space="preserve"> will begin operation in 2013. </w:t>
            </w:r>
          </w:p>
        </w:tc>
        <w:tc>
          <w:tcPr>
            <w:tcW w:w="0" w:type="auto"/>
          </w:tcPr>
          <w:p w:rsidR="00170573" w:rsidRPr="00612500" w:rsidRDefault="00170573" w:rsidP="0026734F">
            <w:pPr>
              <w:pStyle w:val="Nessunaspaziatura"/>
              <w:jc w:val="left"/>
              <w:cnfStyle w:val="000000000000"/>
              <w:rPr>
                <w:rFonts w:ascii="Calibri" w:hAnsi="Calibri"/>
              </w:rPr>
            </w:pPr>
          </w:p>
        </w:tc>
      </w:tr>
    </w:tbl>
    <w:p w:rsidR="008E0FDA" w:rsidRPr="00612500" w:rsidRDefault="008E0FDA">
      <w:pPr>
        <w:rPr>
          <w:rFonts w:ascii="Calibri" w:hAnsi="Calibri"/>
        </w:rPr>
      </w:pPr>
    </w:p>
    <w:p w:rsidR="001F4276" w:rsidRPr="00612500" w:rsidRDefault="005417C2" w:rsidP="001F4276">
      <w:pPr>
        <w:pStyle w:val="Titolo3"/>
        <w:rPr>
          <w:rFonts w:ascii="Calibri" w:eastAsia="Times New Roman" w:hAnsi="Calibri"/>
          <w:lang w:eastAsia="en-GB"/>
        </w:rPr>
      </w:pPr>
      <w:r w:rsidRPr="00612500">
        <w:rPr>
          <w:rFonts w:ascii="Calibri" w:eastAsia="Times New Roman" w:hAnsi="Calibri"/>
          <w:lang w:eastAsia="en-GB"/>
        </w:rPr>
        <w:t>Environment</w:t>
      </w:r>
    </w:p>
    <w:tbl>
      <w:tblPr>
        <w:tblStyle w:val="Sfondomedio1-Colore2"/>
        <w:tblpPr w:leftFromText="181" w:rightFromText="181" w:vertAnchor="text" w:horzAnchor="margin" w:tblpXSpec="center" w:tblpY="1"/>
        <w:tblW w:w="0" w:type="auto"/>
        <w:tblLook w:val="06A0"/>
      </w:tblPr>
      <w:tblGrid>
        <w:gridCol w:w="5805"/>
        <w:gridCol w:w="8369"/>
      </w:tblGrid>
      <w:tr w:rsidR="001F4276" w:rsidRPr="00612500" w:rsidTr="00A34793">
        <w:trPr>
          <w:cnfStyle w:val="100000000000"/>
          <w:cantSplit/>
        </w:trPr>
        <w:tc>
          <w:tcPr>
            <w:cnfStyle w:val="001000000000"/>
            <w:tcW w:w="0" w:type="auto"/>
          </w:tcPr>
          <w:p w:rsidR="001F4276" w:rsidRPr="00612500" w:rsidRDefault="001F4276" w:rsidP="00A34793">
            <w:pPr>
              <w:pStyle w:val="Nessunaspaziatura"/>
              <w:rPr>
                <w:rFonts w:ascii="Calibri" w:hAnsi="Calibri"/>
              </w:rPr>
            </w:pPr>
          </w:p>
        </w:tc>
        <w:tc>
          <w:tcPr>
            <w:tcW w:w="0" w:type="auto"/>
          </w:tcPr>
          <w:p w:rsidR="001F4276" w:rsidRPr="00612500" w:rsidRDefault="001F4276" w:rsidP="00A34793">
            <w:pPr>
              <w:pStyle w:val="Nessunaspaziatura"/>
              <w:cnfStyle w:val="100000000000"/>
              <w:rPr>
                <w:rFonts w:ascii="Calibri" w:hAnsi="Calibri"/>
              </w:rPr>
            </w:pPr>
            <w:r w:rsidRPr="00612500">
              <w:rPr>
                <w:rFonts w:ascii="Calibri" w:hAnsi="Calibri"/>
              </w:rPr>
              <w:t>Key Measures/Aims</w:t>
            </w:r>
          </w:p>
        </w:tc>
      </w:tr>
      <w:tr w:rsidR="001F4276" w:rsidRPr="00612500" w:rsidTr="00A34793">
        <w:trPr>
          <w:cantSplit/>
        </w:trPr>
        <w:tc>
          <w:tcPr>
            <w:cnfStyle w:val="001000000000"/>
            <w:tcW w:w="0" w:type="auto"/>
          </w:tcPr>
          <w:p w:rsidR="001F4276" w:rsidRPr="00612500" w:rsidRDefault="001F4276" w:rsidP="00A34793">
            <w:pPr>
              <w:pStyle w:val="Nessunaspaziatura"/>
              <w:rPr>
                <w:rFonts w:ascii="Calibri" w:hAnsi="Calibri"/>
                <w:lang w:val="fr-BE"/>
              </w:rPr>
            </w:pPr>
            <w:r w:rsidRPr="00612500">
              <w:rPr>
                <w:rFonts w:ascii="Calibri" w:hAnsi="Calibri"/>
                <w:lang w:val="fr-BE"/>
              </w:rPr>
              <w:t>Law on the protection of surface waters against pollution – 2003 (Loi sur la protection des eaux de surface contre la pollution)</w:t>
            </w:r>
            <w:r w:rsidRPr="00612500">
              <w:rPr>
                <w:rFonts w:ascii="Calibri" w:hAnsi="Calibri"/>
                <w:vertAlign w:val="superscript"/>
              </w:rPr>
              <w:footnoteReference w:id="10"/>
            </w:r>
          </w:p>
        </w:tc>
        <w:tc>
          <w:tcPr>
            <w:tcW w:w="0" w:type="auto"/>
          </w:tcPr>
          <w:p w:rsidR="001F4276" w:rsidRPr="00612500" w:rsidRDefault="001F4276" w:rsidP="005017C2">
            <w:pPr>
              <w:pStyle w:val="Nessunaspaziatura"/>
              <w:cnfStyle w:val="000000000000"/>
              <w:rPr>
                <w:rFonts w:ascii="Calibri" w:hAnsi="Calibri"/>
              </w:rPr>
            </w:pPr>
            <w:r w:rsidRPr="00612500">
              <w:rPr>
                <w:rFonts w:ascii="Calibri" w:hAnsi="Calibri"/>
              </w:rPr>
              <w:t>The Act of 26 March 1971 on the protection of surface waters against pollution</w:t>
            </w:r>
            <w:r w:rsidR="005017C2" w:rsidRPr="00612500">
              <w:rPr>
                <w:rFonts w:ascii="Calibri" w:hAnsi="Calibri"/>
              </w:rPr>
              <w:t xml:space="preserve">, following </w:t>
            </w:r>
            <w:r w:rsidR="00702D2B" w:rsidRPr="00612500">
              <w:rPr>
                <w:rFonts w:ascii="Calibri" w:hAnsi="Calibri"/>
              </w:rPr>
              <w:t xml:space="preserve">the </w:t>
            </w:r>
            <w:r w:rsidR="005017C2" w:rsidRPr="00612500">
              <w:rPr>
                <w:rFonts w:ascii="Calibri" w:hAnsi="Calibri"/>
              </w:rPr>
              <w:t>first</w:t>
            </w:r>
            <w:r w:rsidRPr="00612500">
              <w:rPr>
                <w:rFonts w:ascii="Calibri" w:hAnsi="Calibri"/>
              </w:rPr>
              <w:t xml:space="preserve"> version </w:t>
            </w:r>
            <w:r w:rsidR="005017C2" w:rsidRPr="00612500">
              <w:rPr>
                <w:rFonts w:ascii="Calibri" w:hAnsi="Calibri"/>
              </w:rPr>
              <w:t>of</w:t>
            </w:r>
            <w:r w:rsidRPr="00612500">
              <w:rPr>
                <w:rFonts w:ascii="Calibri" w:hAnsi="Calibri"/>
              </w:rPr>
              <w:t xml:space="preserve"> 1 January 1989 and updated to 12 September 2003. It is composed of 50 items divided into three chapters. The initial section defines certain terms, such as, "public water system", "coastal", "pollution", etc. General Provisions </w:t>
            </w:r>
            <w:r w:rsidR="005017C2" w:rsidRPr="00612500">
              <w:rPr>
                <w:rFonts w:ascii="Calibri" w:hAnsi="Calibri"/>
              </w:rPr>
              <w:t>1)</w:t>
            </w:r>
            <w:r w:rsidRPr="00612500">
              <w:rPr>
                <w:rFonts w:ascii="Calibri" w:hAnsi="Calibri"/>
              </w:rPr>
              <w:t xml:space="preserve"> specific for the Flemish Region on the non-priority public sewer provisions (and small sewage treatment facilities) </w:t>
            </w:r>
            <w:r w:rsidR="005017C2" w:rsidRPr="00612500">
              <w:rPr>
                <w:rFonts w:ascii="Calibri" w:hAnsi="Calibri"/>
              </w:rPr>
              <w:t>2)</w:t>
            </w:r>
            <w:r w:rsidRPr="00612500">
              <w:rPr>
                <w:rFonts w:ascii="Calibri" w:hAnsi="Calibri"/>
              </w:rPr>
              <w:t xml:space="preserve"> Special provisions for the Flemish Region in pollution charges of water</w:t>
            </w:r>
            <w:r w:rsidR="005017C2" w:rsidRPr="00612500">
              <w:rPr>
                <w:rFonts w:ascii="Calibri" w:hAnsi="Calibri"/>
              </w:rPr>
              <w:t>.</w:t>
            </w:r>
          </w:p>
        </w:tc>
      </w:tr>
      <w:tr w:rsidR="001F4276" w:rsidRPr="00612500" w:rsidTr="00A34793">
        <w:trPr>
          <w:cantSplit/>
        </w:trPr>
        <w:tc>
          <w:tcPr>
            <w:cnfStyle w:val="001000000000"/>
            <w:tcW w:w="0" w:type="auto"/>
          </w:tcPr>
          <w:p w:rsidR="00E7540A" w:rsidRPr="00612500" w:rsidRDefault="001F4276" w:rsidP="00A34793">
            <w:pPr>
              <w:pStyle w:val="Nessunaspaziatura"/>
              <w:rPr>
                <w:rFonts w:ascii="Calibri" w:hAnsi="Calibri"/>
                <w:lang w:val="fr-BE"/>
              </w:rPr>
            </w:pPr>
            <w:r w:rsidRPr="00612500">
              <w:rPr>
                <w:rFonts w:ascii="Calibri" w:hAnsi="Calibri"/>
                <w:lang w:val="fr-BE"/>
              </w:rPr>
              <w:lastRenderedPageBreak/>
              <w:t xml:space="preserve">Order of the FlemishGovernment in implementation of Chapter III bis of the Act of 26 March 1971 on the protection of surface waters against pollution – 2007 </w:t>
            </w:r>
          </w:p>
          <w:p w:rsidR="001F4276" w:rsidRPr="00612500" w:rsidRDefault="001F4276" w:rsidP="00A34793">
            <w:pPr>
              <w:pStyle w:val="Nessunaspaziatura"/>
              <w:rPr>
                <w:rFonts w:ascii="Calibri" w:hAnsi="Calibri"/>
                <w:lang w:val="fr-BE"/>
              </w:rPr>
            </w:pPr>
            <w:r w:rsidRPr="00612500">
              <w:rPr>
                <w:rFonts w:ascii="Calibri" w:hAnsi="Calibri"/>
                <w:lang w:val="fr-BE"/>
              </w:rPr>
              <w:t>(Arrêté du Gouvernement flamand portant exécution du chapitre IIIbis de la loi du 26 mars 1971 sur la protection des eaux de surface contre la pollution)</w:t>
            </w:r>
            <w:r w:rsidRPr="00612500">
              <w:rPr>
                <w:rFonts w:ascii="Calibri" w:hAnsi="Calibri"/>
                <w:vertAlign w:val="superscript"/>
              </w:rPr>
              <w:footnoteReference w:id="11"/>
            </w:r>
          </w:p>
        </w:tc>
        <w:tc>
          <w:tcPr>
            <w:tcW w:w="0" w:type="auto"/>
          </w:tcPr>
          <w:p w:rsidR="001F4276" w:rsidRPr="00612500" w:rsidRDefault="001F4276" w:rsidP="00A34793">
            <w:pPr>
              <w:pStyle w:val="Nessunaspaziatura"/>
              <w:cnfStyle w:val="000000000000"/>
              <w:rPr>
                <w:rFonts w:ascii="Calibri" w:hAnsi="Calibri"/>
              </w:rPr>
            </w:pPr>
            <w:r w:rsidRPr="00612500">
              <w:rPr>
                <w:rFonts w:ascii="Calibri" w:hAnsi="Calibri"/>
              </w:rPr>
              <w:t>It rules the acceptable quality of wastewater that is allowed to discharge in nature, giving specific metrics for common pollutants.</w:t>
            </w:r>
          </w:p>
        </w:tc>
      </w:tr>
      <w:tr w:rsidR="001F4276" w:rsidRPr="00612500" w:rsidTr="00A34793">
        <w:trPr>
          <w:cantSplit/>
        </w:trPr>
        <w:tc>
          <w:tcPr>
            <w:cnfStyle w:val="001000000000"/>
            <w:tcW w:w="0" w:type="auto"/>
          </w:tcPr>
          <w:p w:rsidR="001F4276" w:rsidRPr="00612500" w:rsidRDefault="001F4276" w:rsidP="00A34793">
            <w:pPr>
              <w:pStyle w:val="Nessunaspaziatura"/>
              <w:rPr>
                <w:rFonts w:ascii="Calibri" w:hAnsi="Calibri"/>
              </w:rPr>
            </w:pPr>
            <w:r w:rsidRPr="00612500">
              <w:rPr>
                <w:rFonts w:ascii="Calibri" w:hAnsi="Calibri"/>
              </w:rPr>
              <w:t>Flemish decree creating the Strategic Advisory Council for Agriculture and Fisheries – 2007 Décretportantcréation du Conseilconsultatifstratégique pour l'Agriculture et la Pêche ( VlaamseGewest )</w:t>
            </w:r>
            <w:r w:rsidRPr="00612500">
              <w:rPr>
                <w:rFonts w:ascii="Calibri" w:hAnsi="Calibri"/>
                <w:vertAlign w:val="superscript"/>
              </w:rPr>
              <w:footnoteReference w:id="12"/>
            </w:r>
          </w:p>
        </w:tc>
        <w:tc>
          <w:tcPr>
            <w:tcW w:w="0" w:type="auto"/>
          </w:tcPr>
          <w:p w:rsidR="00F44629" w:rsidRPr="00612500" w:rsidRDefault="00A64968" w:rsidP="005017C2">
            <w:pPr>
              <w:pStyle w:val="Nessunaspaziatura"/>
              <w:cnfStyle w:val="000000000000"/>
              <w:rPr>
                <w:rFonts w:ascii="Calibri" w:hAnsi="Calibri"/>
              </w:rPr>
            </w:pPr>
            <w:r w:rsidRPr="00612500">
              <w:rPr>
                <w:rFonts w:ascii="Calibri" w:hAnsi="Calibri"/>
              </w:rPr>
              <w:t>The Councilis assigned</w:t>
            </w:r>
            <w:r w:rsidR="00F44629" w:rsidRPr="00612500">
              <w:rPr>
                <w:rFonts w:ascii="Calibri" w:hAnsi="Calibri"/>
              </w:rPr>
              <w:t xml:space="preserve"> to</w:t>
            </w:r>
            <w:r w:rsidRPr="00612500">
              <w:rPr>
                <w:rFonts w:ascii="Calibri" w:hAnsi="Calibri"/>
              </w:rPr>
              <w:t>:</w:t>
            </w:r>
            <w:r w:rsidR="00F44629" w:rsidRPr="00612500">
              <w:rPr>
                <w:rFonts w:ascii="Calibri" w:hAnsi="Calibri"/>
              </w:rPr>
              <w:t xml:space="preserve"> 1) issue opinions, initiative or upon request, 2) contribute, monitor and interpret to development, and 3) advise on the draft decree</w:t>
            </w:r>
            <w:r w:rsidR="00E7540A" w:rsidRPr="00612500">
              <w:rPr>
                <w:rFonts w:ascii="Calibri" w:hAnsi="Calibri"/>
              </w:rPr>
              <w:t>.</w:t>
            </w:r>
          </w:p>
          <w:p w:rsidR="001F4276" w:rsidRPr="00612500" w:rsidRDefault="00E7540A" w:rsidP="00F44629">
            <w:pPr>
              <w:pStyle w:val="Nessunaspaziatura"/>
              <w:cnfStyle w:val="000000000000"/>
              <w:rPr>
                <w:rFonts w:ascii="Calibri" w:hAnsi="Calibri"/>
              </w:rPr>
            </w:pPr>
            <w:r w:rsidRPr="00612500">
              <w:rPr>
                <w:rFonts w:ascii="Calibri" w:hAnsi="Calibri"/>
              </w:rPr>
              <w:t>F</w:t>
            </w:r>
            <w:r w:rsidR="00F44629" w:rsidRPr="00612500">
              <w:rPr>
                <w:rFonts w:ascii="Calibri" w:hAnsi="Calibri"/>
              </w:rPr>
              <w:t xml:space="preserve">or all economic, ecological, social and societal aspects of </w:t>
            </w:r>
            <w:r w:rsidR="005017C2" w:rsidRPr="00612500">
              <w:rPr>
                <w:rFonts w:ascii="Calibri" w:hAnsi="Calibri"/>
              </w:rPr>
              <w:t>agriculture, horticulture, rural, and fisheries</w:t>
            </w:r>
            <w:r w:rsidR="00F44629" w:rsidRPr="00612500">
              <w:rPr>
                <w:rFonts w:ascii="Calibri" w:hAnsi="Calibri"/>
              </w:rPr>
              <w:t xml:space="preserve"> sectors of Flemish region.</w:t>
            </w:r>
          </w:p>
        </w:tc>
      </w:tr>
      <w:tr w:rsidR="001F4276" w:rsidRPr="00612500" w:rsidTr="00A34793">
        <w:trPr>
          <w:cantSplit/>
        </w:trPr>
        <w:tc>
          <w:tcPr>
            <w:cnfStyle w:val="001000000000"/>
            <w:tcW w:w="0" w:type="auto"/>
          </w:tcPr>
          <w:p w:rsidR="001F4276" w:rsidRPr="00612500" w:rsidRDefault="001F4276" w:rsidP="00A34793">
            <w:pPr>
              <w:pStyle w:val="Nessunaspaziatura"/>
              <w:rPr>
                <w:rFonts w:ascii="Calibri" w:hAnsi="Calibri"/>
                <w:lang w:val="fr-BE"/>
              </w:rPr>
            </w:pPr>
            <w:r w:rsidRPr="00612500">
              <w:rPr>
                <w:rFonts w:ascii="Calibri" w:hAnsi="Calibri"/>
                <w:lang w:val="fr-BE"/>
              </w:rPr>
              <w:t>Law on non-navigable water - 2010 (Loi relative aux cours d'eau non navigables)</w:t>
            </w:r>
            <w:r w:rsidRPr="00612500">
              <w:rPr>
                <w:rFonts w:ascii="Calibri" w:hAnsi="Calibri"/>
                <w:vertAlign w:val="superscript"/>
              </w:rPr>
              <w:footnoteReference w:id="13"/>
            </w:r>
          </w:p>
        </w:tc>
        <w:tc>
          <w:tcPr>
            <w:tcW w:w="0" w:type="auto"/>
          </w:tcPr>
          <w:p w:rsidR="001F4276" w:rsidRPr="00612500" w:rsidRDefault="001F4276" w:rsidP="00A34793">
            <w:pPr>
              <w:pStyle w:val="Nessunaspaziatura"/>
              <w:cnfStyle w:val="000000000000"/>
              <w:rPr>
                <w:rFonts w:ascii="Calibri" w:hAnsi="Calibri"/>
              </w:rPr>
            </w:pPr>
            <w:r w:rsidRPr="00612500">
              <w:rPr>
                <w:rFonts w:ascii="Calibri" w:hAnsi="Calibri"/>
              </w:rPr>
              <w:t>The law covers the rules on non-navigable water (inland waters; classification/declassification; waterworks; dam). The text is formed by 25 items divided into four chapters: From classification of rivers non-navigable (I) The regular work of cleaning, maintenance and repair (II) Extraordinary improvements or changes (III) General (IV).</w:t>
            </w:r>
          </w:p>
        </w:tc>
      </w:tr>
    </w:tbl>
    <w:p w:rsidR="00094919" w:rsidRPr="00612500" w:rsidRDefault="00094919" w:rsidP="00094919">
      <w:pPr>
        <w:pStyle w:val="Titolo3"/>
        <w:rPr>
          <w:rFonts w:ascii="Calibri" w:hAnsi="Calibri"/>
        </w:rPr>
      </w:pPr>
    </w:p>
    <w:p w:rsidR="00094919" w:rsidRPr="00612500" w:rsidRDefault="00094919" w:rsidP="00094919">
      <w:pPr>
        <w:pStyle w:val="Titolo3"/>
        <w:rPr>
          <w:rFonts w:ascii="Calibri" w:hAnsi="Calibri"/>
        </w:rPr>
      </w:pPr>
      <w:r w:rsidRPr="00612500">
        <w:rPr>
          <w:rFonts w:ascii="Calibri" w:hAnsi="Calibri"/>
        </w:rPr>
        <w:t xml:space="preserve">General sources: </w:t>
      </w:r>
    </w:p>
    <w:p w:rsidR="00094919" w:rsidRPr="00612500" w:rsidRDefault="000304EB" w:rsidP="00094919">
      <w:pPr>
        <w:pStyle w:val="Testonotaapidipagina"/>
        <w:rPr>
          <w:rFonts w:ascii="Calibri" w:hAnsi="Calibri"/>
        </w:rPr>
      </w:pPr>
      <w:hyperlink r:id="rId12" w:history="1">
        <w:r w:rsidR="00094919" w:rsidRPr="00612500">
          <w:rPr>
            <w:rStyle w:val="Collegamentoipertestuale"/>
            <w:rFonts w:ascii="Calibri" w:hAnsi="Calibri"/>
          </w:rPr>
          <w:t>http://www.cakmak.av.tr/pdf/Global%20Renewable%20Energy%20Guide%202012.pdf</w:t>
        </w:r>
      </w:hyperlink>
    </w:p>
    <w:p w:rsidR="00094919" w:rsidRPr="00612500" w:rsidRDefault="000304EB" w:rsidP="00094919">
      <w:pPr>
        <w:pStyle w:val="Testonotaapidipagina"/>
        <w:rPr>
          <w:rFonts w:ascii="Calibri" w:hAnsi="Calibri"/>
        </w:rPr>
      </w:pPr>
      <w:hyperlink r:id="rId13" w:history="1">
        <w:r w:rsidR="00094919" w:rsidRPr="00612500">
          <w:rPr>
            <w:rStyle w:val="Collegamentoipertestuale"/>
            <w:rFonts w:ascii="Calibri" w:hAnsi="Calibri"/>
          </w:rPr>
          <w:t>http://ec.europa.eu/europe2020/documents/related-document-type/index_en.htm</w:t>
        </w:r>
      </w:hyperlink>
    </w:p>
    <w:p w:rsidR="00094919" w:rsidRPr="00612500" w:rsidRDefault="000304EB" w:rsidP="00094919">
      <w:pPr>
        <w:pStyle w:val="Testonotaapidipagina"/>
        <w:rPr>
          <w:rFonts w:ascii="Calibri" w:hAnsi="Calibri"/>
        </w:rPr>
      </w:pPr>
      <w:hyperlink r:id="rId14" w:history="1">
        <w:r w:rsidR="00094919" w:rsidRPr="00612500">
          <w:rPr>
            <w:rStyle w:val="Collegamentoipertestuale"/>
            <w:rFonts w:ascii="Calibri" w:hAnsi="Calibri"/>
          </w:rPr>
          <w:t>http://ec.europa.eu/clima/policies/g-gas/progress/docs/be_2013_en.pdf</w:t>
        </w:r>
      </w:hyperlink>
    </w:p>
    <w:p w:rsidR="001F4276" w:rsidRPr="00612500" w:rsidRDefault="000304EB" w:rsidP="00707D2D">
      <w:pPr>
        <w:pStyle w:val="Testonotaapidipagina"/>
        <w:rPr>
          <w:rFonts w:ascii="Calibri" w:hAnsi="Calibri"/>
        </w:rPr>
      </w:pPr>
      <w:hyperlink r:id="rId15" w:history="1">
        <w:r w:rsidR="00094919" w:rsidRPr="00612500">
          <w:rPr>
            <w:rStyle w:val="Collegamentoipertestuale"/>
            <w:rFonts w:ascii="Calibri" w:hAnsi="Calibri"/>
          </w:rPr>
          <w:t>http://ec.europa.eu/europe2020/pdf/nd/nrp2013_belgium_en.pdf</w:t>
        </w:r>
      </w:hyperlink>
    </w:p>
    <w:sectPr w:rsidR="001F4276" w:rsidRPr="00612500" w:rsidSect="00067DE9">
      <w:pgSz w:w="16838" w:h="11906" w:orient="landscape"/>
      <w:pgMar w:top="1440" w:right="1440" w:bottom="1135"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687" w:rsidRDefault="00212687" w:rsidP="00EB50A9">
      <w:pPr>
        <w:spacing w:after="0" w:line="240" w:lineRule="auto"/>
      </w:pPr>
      <w:r>
        <w:separator/>
      </w:r>
    </w:p>
  </w:endnote>
  <w:endnote w:type="continuationSeparator" w:id="1">
    <w:p w:rsidR="00212687" w:rsidRDefault="00212687" w:rsidP="00EB50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127644"/>
      <w:docPartObj>
        <w:docPartGallery w:val="Page Numbers (Bottom of Page)"/>
        <w:docPartUnique/>
      </w:docPartObj>
    </w:sdtPr>
    <w:sdtEndPr>
      <w:rPr>
        <w:noProof/>
      </w:rPr>
    </w:sdtEndPr>
    <w:sdtContent>
      <w:p w:rsidR="00067DE9" w:rsidRDefault="000304EB">
        <w:pPr>
          <w:pStyle w:val="Pidipagina"/>
          <w:jc w:val="center"/>
        </w:pPr>
        <w:r>
          <w:fldChar w:fldCharType="begin"/>
        </w:r>
        <w:r w:rsidR="00DD6CAB">
          <w:instrText xml:space="preserve"> PAGE   \* MERGEFORMAT </w:instrText>
        </w:r>
        <w:r>
          <w:fldChar w:fldCharType="separate"/>
        </w:r>
        <w:r w:rsidR="007C7742">
          <w:rPr>
            <w:noProof/>
          </w:rPr>
          <w:t>10</w:t>
        </w:r>
        <w:r>
          <w:rPr>
            <w:noProof/>
          </w:rPr>
          <w:fldChar w:fldCharType="end"/>
        </w:r>
      </w:p>
    </w:sdtContent>
  </w:sdt>
  <w:p w:rsidR="00067DE9" w:rsidRDefault="00067DE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687" w:rsidRDefault="00212687" w:rsidP="00EB50A9">
      <w:pPr>
        <w:spacing w:after="0" w:line="240" w:lineRule="auto"/>
      </w:pPr>
      <w:r>
        <w:separator/>
      </w:r>
    </w:p>
  </w:footnote>
  <w:footnote w:type="continuationSeparator" w:id="1">
    <w:p w:rsidR="00212687" w:rsidRDefault="00212687" w:rsidP="00EB50A9">
      <w:pPr>
        <w:spacing w:after="0" w:line="240" w:lineRule="auto"/>
      </w:pPr>
      <w:r>
        <w:continuationSeparator/>
      </w:r>
    </w:p>
  </w:footnote>
  <w:footnote w:id="2">
    <w:p w:rsidR="00035EA4" w:rsidRDefault="00035EA4" w:rsidP="00035EA4">
      <w:pPr>
        <w:pStyle w:val="Testonotaapidipagina"/>
      </w:pPr>
      <w:r>
        <w:rPr>
          <w:rStyle w:val="Rimandonotaapidipagina"/>
        </w:rPr>
        <w:footnoteRef/>
      </w:r>
      <w:hyperlink r:id="rId1" w:history="1">
        <w:r w:rsidRPr="00B23B4F">
          <w:rPr>
            <w:rStyle w:val="Collegamentoipertestuale"/>
          </w:rPr>
          <w:t>http://airclimat.wallonie.be/spip/Plan-Air-Climat.html</w:t>
        </w:r>
      </w:hyperlink>
    </w:p>
  </w:footnote>
  <w:footnote w:id="3">
    <w:p w:rsidR="00035EA4" w:rsidRDefault="00035EA4" w:rsidP="00035EA4">
      <w:pPr>
        <w:pStyle w:val="Testonotaapidipagina"/>
      </w:pPr>
      <w:r>
        <w:rPr>
          <w:rStyle w:val="Rimandonotaapidipagina"/>
        </w:rPr>
        <w:footnoteRef/>
      </w:r>
      <w:hyperlink r:id="rId2" w:history="1">
        <w:r w:rsidRPr="00FE17C2">
          <w:rPr>
            <w:rStyle w:val="Collegamentoipertestuale"/>
          </w:rPr>
          <w:t>http://www.energiesparen.be/node/3075</w:t>
        </w:r>
      </w:hyperlink>
    </w:p>
  </w:footnote>
  <w:footnote w:id="4">
    <w:p w:rsidR="009509BF" w:rsidRPr="009509BF" w:rsidRDefault="009509BF">
      <w:pPr>
        <w:pStyle w:val="Testonotaapidipagina"/>
      </w:pPr>
      <w:r>
        <w:rPr>
          <w:rStyle w:val="Rimandonotaapidipagina"/>
        </w:rPr>
        <w:footnoteRef/>
      </w:r>
      <w:hyperlink r:id="rId3" w:history="1">
        <w:r w:rsidRPr="00A51677">
          <w:rPr>
            <w:rStyle w:val="Collegamentoipertestuale"/>
          </w:rPr>
          <w:t>http://wallex.wallonie.be/index.php?doc=9075</w:t>
        </w:r>
      </w:hyperlink>
    </w:p>
  </w:footnote>
  <w:footnote w:id="5">
    <w:p w:rsidR="00067DE9" w:rsidRPr="009F4613" w:rsidRDefault="00067DE9" w:rsidP="009F4613">
      <w:pPr>
        <w:pStyle w:val="Titolo2"/>
        <w:spacing w:before="0" w:after="0"/>
        <w:rPr>
          <w:sz w:val="18"/>
          <w:szCs w:val="18"/>
        </w:rPr>
      </w:pPr>
      <w:r w:rsidRPr="009F4613">
        <w:rPr>
          <w:rStyle w:val="Rimandonotaapidipagina"/>
          <w:sz w:val="18"/>
          <w:szCs w:val="18"/>
        </w:rPr>
        <w:footnoteRef/>
      </w:r>
      <w:hyperlink r:id="rId4" w:history="1">
        <w:r w:rsidRPr="009F4613">
          <w:rPr>
            <w:rStyle w:val="Collegamentoipertestuale"/>
            <w:sz w:val="18"/>
            <w:szCs w:val="18"/>
          </w:rPr>
          <w:t>http://www.agentschapondernemen.be/download/file/fid/23995</w:t>
        </w:r>
      </w:hyperlink>
    </w:p>
  </w:footnote>
  <w:footnote w:id="6">
    <w:p w:rsidR="00067DE9" w:rsidRDefault="00067DE9" w:rsidP="00EB50A9">
      <w:pPr>
        <w:pStyle w:val="Testonotaapidipagina"/>
        <w:rPr>
          <w:rStyle w:val="Collegamentoipertestuale"/>
        </w:rPr>
      </w:pPr>
      <w:r>
        <w:rPr>
          <w:rStyle w:val="Rimandonotaapidipagina"/>
        </w:rPr>
        <w:footnoteRef/>
      </w:r>
      <w:hyperlink r:id="rId5" w:history="1">
        <w:r w:rsidRPr="00FE17C2">
          <w:rPr>
            <w:rStyle w:val="Collegamentoipertestuale"/>
          </w:rPr>
          <w:t>http://www.energiesparen.be/node/3075</w:t>
        </w:r>
      </w:hyperlink>
    </w:p>
    <w:p w:rsidR="00067DE9" w:rsidRDefault="00067DE9" w:rsidP="00EB50A9">
      <w:pPr>
        <w:pStyle w:val="Testonotaapidipagina"/>
      </w:pPr>
    </w:p>
  </w:footnote>
  <w:footnote w:id="7">
    <w:p w:rsidR="00067DE9" w:rsidRDefault="00067DE9">
      <w:pPr>
        <w:pStyle w:val="Testonotaapidipagina"/>
      </w:pPr>
      <w:r>
        <w:rPr>
          <w:rStyle w:val="Rimandonotaapidipagina"/>
        </w:rPr>
        <w:footnoteRef/>
      </w:r>
      <w:hyperlink r:id="rId6" w:history="1">
        <w:r w:rsidRPr="00F57ECC">
          <w:rPr>
            <w:rStyle w:val="Collegamentoipertestuale"/>
          </w:rPr>
          <w:t>http://economie.fgov.be/fr/modules/regulation/arrete_royal/20061122_ar_completant_ar_20050304_relatif_biocarburants.jsp</w:t>
        </w:r>
      </w:hyperlink>
    </w:p>
  </w:footnote>
  <w:footnote w:id="8">
    <w:p w:rsidR="00067DE9" w:rsidRDefault="00067DE9">
      <w:pPr>
        <w:pStyle w:val="Testonotaapidipagina"/>
      </w:pPr>
      <w:r>
        <w:rPr>
          <w:rStyle w:val="Rimandonotaapidipagina"/>
        </w:rPr>
        <w:footnoteRef/>
      </w:r>
      <w:hyperlink r:id="rId7" w:anchor=".Um_uN1OfiW8" w:history="1">
        <w:r w:rsidRPr="00B23B4F">
          <w:rPr>
            <w:rStyle w:val="Collegamentoipertestuale"/>
          </w:rPr>
          <w:t>http://economie.fgov.be/fr/consommateurs/Energie/Energies_renouvelables/Biocarburants/#.Um_uN1OfiW8</w:t>
        </w:r>
      </w:hyperlink>
    </w:p>
    <w:p w:rsidR="00067DE9" w:rsidRDefault="00067DE9">
      <w:pPr>
        <w:pStyle w:val="Testonotaapidipagina"/>
      </w:pPr>
    </w:p>
  </w:footnote>
  <w:footnote w:id="9">
    <w:p w:rsidR="009509BF" w:rsidRPr="009509BF" w:rsidRDefault="009509BF">
      <w:pPr>
        <w:pStyle w:val="Testonotaapidipagina"/>
      </w:pPr>
      <w:r>
        <w:rPr>
          <w:rStyle w:val="Rimandonotaapidipagina"/>
        </w:rPr>
        <w:footnoteRef/>
      </w:r>
      <w:hyperlink r:id="rId8" w:history="1">
        <w:r w:rsidRPr="00A51677">
          <w:rPr>
            <w:rStyle w:val="Collegamentoipertestuale"/>
          </w:rPr>
          <w:t>http://translate.google.be/translate?hl=en&amp;sl=fr&amp;tl=en&amp;u=http%3A%2F%2Fwww.etaamb.be%2Ffr%2Farrete-royal-du-26-novembre-2011_n2011024352.html&amp;anno=2</w:t>
        </w:r>
      </w:hyperlink>
    </w:p>
  </w:footnote>
  <w:footnote w:id="10">
    <w:p w:rsidR="001F4276" w:rsidRDefault="001F4276" w:rsidP="001F4276">
      <w:pPr>
        <w:pStyle w:val="Testonotaapidipagina"/>
      </w:pPr>
      <w:r>
        <w:rPr>
          <w:rStyle w:val="Rimandonotaapidipagina"/>
        </w:rPr>
        <w:footnoteRef/>
      </w:r>
      <w:hyperlink r:id="rId9" w:history="1">
        <w:r w:rsidRPr="00AA55A6">
          <w:rPr>
            <w:rStyle w:val="Collegamentoipertestuale"/>
          </w:rPr>
          <w:t>http://faolex.fao.org/cgi-bin/faolex.exe?rec_id=011037&amp;database=faolex&amp;search_type=link&amp;table=result&amp;lang=eng&amp;format_name=@ERALL</w:t>
        </w:r>
      </w:hyperlink>
    </w:p>
  </w:footnote>
  <w:footnote w:id="11">
    <w:p w:rsidR="001F4276" w:rsidRDefault="001F4276" w:rsidP="001F4276">
      <w:pPr>
        <w:pStyle w:val="Testonotaapidipagina"/>
      </w:pPr>
      <w:r>
        <w:rPr>
          <w:rStyle w:val="Rimandonotaapidipagina"/>
        </w:rPr>
        <w:footnoteRef/>
      </w:r>
      <w:hyperlink r:id="rId10" w:history="1">
        <w:r w:rsidRPr="00AA55A6">
          <w:rPr>
            <w:rStyle w:val="Collegamentoipertestuale"/>
          </w:rPr>
          <w:t>http://faolex.fao.org/cgi-bin/faolex.exe?rec_id=066666&amp;database=faolex&amp;search_type=link&amp;table=result&amp;lang=eng&amp;format_name=@ERALL</w:t>
        </w:r>
      </w:hyperlink>
    </w:p>
  </w:footnote>
  <w:footnote w:id="12">
    <w:p w:rsidR="001F4276" w:rsidRDefault="001F4276" w:rsidP="001F4276">
      <w:pPr>
        <w:pStyle w:val="Testonotaapidipagina"/>
      </w:pPr>
      <w:r>
        <w:rPr>
          <w:rStyle w:val="Rimandonotaapidipagina"/>
        </w:rPr>
        <w:footnoteRef/>
      </w:r>
      <w:hyperlink r:id="rId11" w:history="1">
        <w:r w:rsidRPr="00AA55A6">
          <w:rPr>
            <w:rStyle w:val="Collegamentoipertestuale"/>
          </w:rPr>
          <w:t>http://faolex.fao.org/cgi-bin/faolex.exe?rec_id=066663&amp;database=faolex&amp;search_type=link&amp;table=result&amp;lang=eng&amp;format_name=@ERALL</w:t>
        </w:r>
      </w:hyperlink>
    </w:p>
  </w:footnote>
  <w:footnote w:id="13">
    <w:p w:rsidR="001F4276" w:rsidRDefault="001F4276" w:rsidP="001F4276">
      <w:pPr>
        <w:pStyle w:val="Testonotaapidipagina"/>
      </w:pPr>
      <w:r>
        <w:rPr>
          <w:rStyle w:val="Rimandonotaapidipagina"/>
        </w:rPr>
        <w:footnoteRef/>
      </w:r>
      <w:hyperlink r:id="rId12" w:history="1">
        <w:r w:rsidRPr="00AA55A6">
          <w:rPr>
            <w:rStyle w:val="Collegamentoipertestuale"/>
          </w:rPr>
          <w:t>http://faolex.fao.org/cgi-bin/faolex.exe?rec_id=021203&amp;database=faolex&amp;search_type=link&amp;table=result&amp;lang=eng&amp;format_name=@ERALL</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36362"/>
    <w:multiLevelType w:val="multilevel"/>
    <w:tmpl w:val="077C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1F022B"/>
    <w:multiLevelType w:val="multilevel"/>
    <w:tmpl w:val="D2EA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2B0546"/>
    <w:multiLevelType w:val="multilevel"/>
    <w:tmpl w:val="E38E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B9068A"/>
    <w:multiLevelType w:val="hybridMultilevel"/>
    <w:tmpl w:val="20FCAB26"/>
    <w:lvl w:ilvl="0" w:tplc="23E8F74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B5D01AE"/>
    <w:multiLevelType w:val="multilevel"/>
    <w:tmpl w:val="4574F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223681"/>
    <w:multiLevelType w:val="multilevel"/>
    <w:tmpl w:val="08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86A7D45"/>
    <w:multiLevelType w:val="multilevel"/>
    <w:tmpl w:val="0870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F44A4B"/>
    <w:multiLevelType w:val="multilevel"/>
    <w:tmpl w:val="CD96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2"/>
  </w:num>
  <w:num w:numId="4">
    <w:abstractNumId w:val="0"/>
  </w:num>
  <w:num w:numId="5">
    <w:abstractNumId w:val="1"/>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283"/>
  <w:characterSpacingControl w:val="doNotCompress"/>
  <w:footnotePr>
    <w:footnote w:id="0"/>
    <w:footnote w:id="1"/>
  </w:footnotePr>
  <w:endnotePr>
    <w:endnote w:id="0"/>
    <w:endnote w:id="1"/>
  </w:endnotePr>
  <w:compat>
    <w:useFELayout/>
  </w:compat>
  <w:rsids>
    <w:rsidRoot w:val="00EB50A9"/>
    <w:rsid w:val="00000FCF"/>
    <w:rsid w:val="00005415"/>
    <w:rsid w:val="0000661B"/>
    <w:rsid w:val="00006D60"/>
    <w:rsid w:val="00021AA9"/>
    <w:rsid w:val="0003013D"/>
    <w:rsid w:val="000304EB"/>
    <w:rsid w:val="0003066E"/>
    <w:rsid w:val="000319F6"/>
    <w:rsid w:val="00035EA4"/>
    <w:rsid w:val="00035F86"/>
    <w:rsid w:val="0004237E"/>
    <w:rsid w:val="00046793"/>
    <w:rsid w:val="000511B6"/>
    <w:rsid w:val="00051ADD"/>
    <w:rsid w:val="00054677"/>
    <w:rsid w:val="00055676"/>
    <w:rsid w:val="00057DBF"/>
    <w:rsid w:val="00061ED4"/>
    <w:rsid w:val="00065831"/>
    <w:rsid w:val="00067DE9"/>
    <w:rsid w:val="00072A60"/>
    <w:rsid w:val="0007366A"/>
    <w:rsid w:val="00080117"/>
    <w:rsid w:val="00081B09"/>
    <w:rsid w:val="00082122"/>
    <w:rsid w:val="0008529D"/>
    <w:rsid w:val="00086134"/>
    <w:rsid w:val="0008724F"/>
    <w:rsid w:val="0009050F"/>
    <w:rsid w:val="00092165"/>
    <w:rsid w:val="00093882"/>
    <w:rsid w:val="00094919"/>
    <w:rsid w:val="000A4D49"/>
    <w:rsid w:val="000A6C27"/>
    <w:rsid w:val="000A7751"/>
    <w:rsid w:val="000A7B14"/>
    <w:rsid w:val="000B107C"/>
    <w:rsid w:val="000B2187"/>
    <w:rsid w:val="000C4409"/>
    <w:rsid w:val="000D548C"/>
    <w:rsid w:val="000D5BF4"/>
    <w:rsid w:val="000D751F"/>
    <w:rsid w:val="000F4B54"/>
    <w:rsid w:val="000F4C22"/>
    <w:rsid w:val="000F6096"/>
    <w:rsid w:val="000F6E85"/>
    <w:rsid w:val="001006E4"/>
    <w:rsid w:val="00101D92"/>
    <w:rsid w:val="0010390D"/>
    <w:rsid w:val="001066B9"/>
    <w:rsid w:val="00111B0F"/>
    <w:rsid w:val="00113FF3"/>
    <w:rsid w:val="001168DD"/>
    <w:rsid w:val="00116FA8"/>
    <w:rsid w:val="0012004A"/>
    <w:rsid w:val="00121530"/>
    <w:rsid w:val="00140029"/>
    <w:rsid w:val="00140A58"/>
    <w:rsid w:val="001418AD"/>
    <w:rsid w:val="00144661"/>
    <w:rsid w:val="00146DC2"/>
    <w:rsid w:val="001509C3"/>
    <w:rsid w:val="001617C7"/>
    <w:rsid w:val="00164421"/>
    <w:rsid w:val="00170573"/>
    <w:rsid w:val="00173A1D"/>
    <w:rsid w:val="00180F3C"/>
    <w:rsid w:val="0018342E"/>
    <w:rsid w:val="001857F8"/>
    <w:rsid w:val="001920BE"/>
    <w:rsid w:val="00192408"/>
    <w:rsid w:val="001A077A"/>
    <w:rsid w:val="001A1220"/>
    <w:rsid w:val="001A1858"/>
    <w:rsid w:val="001A40DC"/>
    <w:rsid w:val="001B0432"/>
    <w:rsid w:val="001B31F5"/>
    <w:rsid w:val="001B48C9"/>
    <w:rsid w:val="001B7CA6"/>
    <w:rsid w:val="001C0418"/>
    <w:rsid w:val="001C19C2"/>
    <w:rsid w:val="001C1EE6"/>
    <w:rsid w:val="001C7926"/>
    <w:rsid w:val="001E1ED8"/>
    <w:rsid w:val="001E3ED0"/>
    <w:rsid w:val="001F23E3"/>
    <w:rsid w:val="001F4276"/>
    <w:rsid w:val="001F6D94"/>
    <w:rsid w:val="0020326B"/>
    <w:rsid w:val="00212687"/>
    <w:rsid w:val="002211F4"/>
    <w:rsid w:val="0022140C"/>
    <w:rsid w:val="00233B90"/>
    <w:rsid w:val="002370B1"/>
    <w:rsid w:val="0024039D"/>
    <w:rsid w:val="00243892"/>
    <w:rsid w:val="0026164B"/>
    <w:rsid w:val="00261A95"/>
    <w:rsid w:val="00265043"/>
    <w:rsid w:val="0026734F"/>
    <w:rsid w:val="00267B98"/>
    <w:rsid w:val="00275748"/>
    <w:rsid w:val="00281872"/>
    <w:rsid w:val="00291341"/>
    <w:rsid w:val="00292DBA"/>
    <w:rsid w:val="00293995"/>
    <w:rsid w:val="002A185D"/>
    <w:rsid w:val="002A1B68"/>
    <w:rsid w:val="002B6101"/>
    <w:rsid w:val="002C08B1"/>
    <w:rsid w:val="002C19A9"/>
    <w:rsid w:val="002D05B5"/>
    <w:rsid w:val="002E0D0A"/>
    <w:rsid w:val="002E59D1"/>
    <w:rsid w:val="002F35E9"/>
    <w:rsid w:val="00300247"/>
    <w:rsid w:val="0030785C"/>
    <w:rsid w:val="00307AFD"/>
    <w:rsid w:val="00311AA8"/>
    <w:rsid w:val="00312CB0"/>
    <w:rsid w:val="0031695E"/>
    <w:rsid w:val="003202E3"/>
    <w:rsid w:val="00322689"/>
    <w:rsid w:val="0032370A"/>
    <w:rsid w:val="00323C15"/>
    <w:rsid w:val="003318AC"/>
    <w:rsid w:val="003319C1"/>
    <w:rsid w:val="003478A7"/>
    <w:rsid w:val="00361870"/>
    <w:rsid w:val="003675C4"/>
    <w:rsid w:val="00375465"/>
    <w:rsid w:val="0037565B"/>
    <w:rsid w:val="00376D5A"/>
    <w:rsid w:val="00377B29"/>
    <w:rsid w:val="0038244E"/>
    <w:rsid w:val="00384030"/>
    <w:rsid w:val="00391AC8"/>
    <w:rsid w:val="00395E68"/>
    <w:rsid w:val="00397E44"/>
    <w:rsid w:val="003A0EEE"/>
    <w:rsid w:val="003B1273"/>
    <w:rsid w:val="003B64D7"/>
    <w:rsid w:val="003C0FF9"/>
    <w:rsid w:val="003D1123"/>
    <w:rsid w:val="003E0D5F"/>
    <w:rsid w:val="003E50CC"/>
    <w:rsid w:val="003E5A8E"/>
    <w:rsid w:val="003F66E9"/>
    <w:rsid w:val="003F7C05"/>
    <w:rsid w:val="00400884"/>
    <w:rsid w:val="00402DA0"/>
    <w:rsid w:val="00404879"/>
    <w:rsid w:val="00406245"/>
    <w:rsid w:val="0040757C"/>
    <w:rsid w:val="00410B39"/>
    <w:rsid w:val="00423340"/>
    <w:rsid w:val="004315B0"/>
    <w:rsid w:val="0043417E"/>
    <w:rsid w:val="00435246"/>
    <w:rsid w:val="00437D53"/>
    <w:rsid w:val="004407B3"/>
    <w:rsid w:val="004503C3"/>
    <w:rsid w:val="0045524E"/>
    <w:rsid w:val="00456EBE"/>
    <w:rsid w:val="00460C9E"/>
    <w:rsid w:val="004628E9"/>
    <w:rsid w:val="00465F08"/>
    <w:rsid w:val="004702AE"/>
    <w:rsid w:val="0047410E"/>
    <w:rsid w:val="00492E64"/>
    <w:rsid w:val="00494EF0"/>
    <w:rsid w:val="004975B0"/>
    <w:rsid w:val="00497753"/>
    <w:rsid w:val="004A6C68"/>
    <w:rsid w:val="004A7358"/>
    <w:rsid w:val="004A7575"/>
    <w:rsid w:val="004B5227"/>
    <w:rsid w:val="004B55AA"/>
    <w:rsid w:val="004B7D7F"/>
    <w:rsid w:val="004C12E8"/>
    <w:rsid w:val="004C2903"/>
    <w:rsid w:val="004C304E"/>
    <w:rsid w:val="004D287A"/>
    <w:rsid w:val="004E71D3"/>
    <w:rsid w:val="004F3229"/>
    <w:rsid w:val="004F602E"/>
    <w:rsid w:val="004F724A"/>
    <w:rsid w:val="005017C2"/>
    <w:rsid w:val="00502235"/>
    <w:rsid w:val="00503BE6"/>
    <w:rsid w:val="005163DE"/>
    <w:rsid w:val="00520500"/>
    <w:rsid w:val="005211C2"/>
    <w:rsid w:val="00527BF0"/>
    <w:rsid w:val="00537A1D"/>
    <w:rsid w:val="00541265"/>
    <w:rsid w:val="005417C2"/>
    <w:rsid w:val="00551E4C"/>
    <w:rsid w:val="0056284B"/>
    <w:rsid w:val="00563B44"/>
    <w:rsid w:val="0056535A"/>
    <w:rsid w:val="00570E88"/>
    <w:rsid w:val="00581B0E"/>
    <w:rsid w:val="00584D77"/>
    <w:rsid w:val="00591158"/>
    <w:rsid w:val="00593FDB"/>
    <w:rsid w:val="005963E4"/>
    <w:rsid w:val="005A177D"/>
    <w:rsid w:val="005A1EB8"/>
    <w:rsid w:val="005A438E"/>
    <w:rsid w:val="005A4468"/>
    <w:rsid w:val="005B0321"/>
    <w:rsid w:val="005B0614"/>
    <w:rsid w:val="005B1D4C"/>
    <w:rsid w:val="005B2972"/>
    <w:rsid w:val="005B3A57"/>
    <w:rsid w:val="005B4DDA"/>
    <w:rsid w:val="005B5320"/>
    <w:rsid w:val="005B6511"/>
    <w:rsid w:val="005B7961"/>
    <w:rsid w:val="005C15FC"/>
    <w:rsid w:val="005E43C0"/>
    <w:rsid w:val="005E51F2"/>
    <w:rsid w:val="005E58DE"/>
    <w:rsid w:val="005F0E0D"/>
    <w:rsid w:val="005F2B37"/>
    <w:rsid w:val="00602644"/>
    <w:rsid w:val="00603176"/>
    <w:rsid w:val="0061121F"/>
    <w:rsid w:val="00612500"/>
    <w:rsid w:val="00613F0C"/>
    <w:rsid w:val="00614B36"/>
    <w:rsid w:val="00624285"/>
    <w:rsid w:val="00625E2C"/>
    <w:rsid w:val="00625FBD"/>
    <w:rsid w:val="00637873"/>
    <w:rsid w:val="00643943"/>
    <w:rsid w:val="00645647"/>
    <w:rsid w:val="00654EB0"/>
    <w:rsid w:val="00656007"/>
    <w:rsid w:val="00656970"/>
    <w:rsid w:val="006665E1"/>
    <w:rsid w:val="006677CE"/>
    <w:rsid w:val="00670A64"/>
    <w:rsid w:val="00683E25"/>
    <w:rsid w:val="006930C6"/>
    <w:rsid w:val="006A0627"/>
    <w:rsid w:val="006A251B"/>
    <w:rsid w:val="006A3FF5"/>
    <w:rsid w:val="006A58FF"/>
    <w:rsid w:val="006B314A"/>
    <w:rsid w:val="006B49FD"/>
    <w:rsid w:val="006B612C"/>
    <w:rsid w:val="006B7200"/>
    <w:rsid w:val="006C57D4"/>
    <w:rsid w:val="006D1FD5"/>
    <w:rsid w:val="006D4331"/>
    <w:rsid w:val="006F1DE2"/>
    <w:rsid w:val="00702D2B"/>
    <w:rsid w:val="00707D2D"/>
    <w:rsid w:val="0071277D"/>
    <w:rsid w:val="00713059"/>
    <w:rsid w:val="007131B7"/>
    <w:rsid w:val="0072041A"/>
    <w:rsid w:val="007261BA"/>
    <w:rsid w:val="00727198"/>
    <w:rsid w:val="007276A1"/>
    <w:rsid w:val="00730EDF"/>
    <w:rsid w:val="00731959"/>
    <w:rsid w:val="007331CB"/>
    <w:rsid w:val="0074347A"/>
    <w:rsid w:val="007447EF"/>
    <w:rsid w:val="00745601"/>
    <w:rsid w:val="0074610B"/>
    <w:rsid w:val="00747AB4"/>
    <w:rsid w:val="0075532A"/>
    <w:rsid w:val="00755C85"/>
    <w:rsid w:val="0075673C"/>
    <w:rsid w:val="00756C05"/>
    <w:rsid w:val="0078124A"/>
    <w:rsid w:val="007828ED"/>
    <w:rsid w:val="007869F2"/>
    <w:rsid w:val="007957D6"/>
    <w:rsid w:val="007A5662"/>
    <w:rsid w:val="007B18B4"/>
    <w:rsid w:val="007B23D6"/>
    <w:rsid w:val="007B34F3"/>
    <w:rsid w:val="007B4C7D"/>
    <w:rsid w:val="007B5588"/>
    <w:rsid w:val="007B581F"/>
    <w:rsid w:val="007B755C"/>
    <w:rsid w:val="007C49AE"/>
    <w:rsid w:val="007C69A8"/>
    <w:rsid w:val="007C7742"/>
    <w:rsid w:val="007D1020"/>
    <w:rsid w:val="007D1E1C"/>
    <w:rsid w:val="007D3336"/>
    <w:rsid w:val="007D5AFF"/>
    <w:rsid w:val="007E063F"/>
    <w:rsid w:val="007E3AA4"/>
    <w:rsid w:val="007F18FC"/>
    <w:rsid w:val="007F1AF7"/>
    <w:rsid w:val="007F294F"/>
    <w:rsid w:val="007F4605"/>
    <w:rsid w:val="007F581B"/>
    <w:rsid w:val="007F732C"/>
    <w:rsid w:val="00803992"/>
    <w:rsid w:val="00810AB1"/>
    <w:rsid w:val="008146D1"/>
    <w:rsid w:val="0081523D"/>
    <w:rsid w:val="0083189A"/>
    <w:rsid w:val="00837A48"/>
    <w:rsid w:val="0085301C"/>
    <w:rsid w:val="0085488E"/>
    <w:rsid w:val="0085564A"/>
    <w:rsid w:val="00866146"/>
    <w:rsid w:val="00866D21"/>
    <w:rsid w:val="00867220"/>
    <w:rsid w:val="0087036B"/>
    <w:rsid w:val="008707AD"/>
    <w:rsid w:val="00871E3C"/>
    <w:rsid w:val="0087303F"/>
    <w:rsid w:val="00873075"/>
    <w:rsid w:val="00876364"/>
    <w:rsid w:val="0087673C"/>
    <w:rsid w:val="00877659"/>
    <w:rsid w:val="008778C2"/>
    <w:rsid w:val="00880A63"/>
    <w:rsid w:val="008828CA"/>
    <w:rsid w:val="00883215"/>
    <w:rsid w:val="008A3609"/>
    <w:rsid w:val="008C72AE"/>
    <w:rsid w:val="008D0D6F"/>
    <w:rsid w:val="008D1F97"/>
    <w:rsid w:val="008D385D"/>
    <w:rsid w:val="008D444E"/>
    <w:rsid w:val="008D5733"/>
    <w:rsid w:val="008D5D35"/>
    <w:rsid w:val="008D7C1E"/>
    <w:rsid w:val="008E0FDA"/>
    <w:rsid w:val="008E681A"/>
    <w:rsid w:val="008E69A2"/>
    <w:rsid w:val="008F4D52"/>
    <w:rsid w:val="008F72BF"/>
    <w:rsid w:val="00901EDF"/>
    <w:rsid w:val="00903455"/>
    <w:rsid w:val="00905295"/>
    <w:rsid w:val="00905AFA"/>
    <w:rsid w:val="00910580"/>
    <w:rsid w:val="00915462"/>
    <w:rsid w:val="0091654D"/>
    <w:rsid w:val="009219D8"/>
    <w:rsid w:val="00932622"/>
    <w:rsid w:val="009327CB"/>
    <w:rsid w:val="00934AB8"/>
    <w:rsid w:val="0093618F"/>
    <w:rsid w:val="00936BCF"/>
    <w:rsid w:val="00940C4F"/>
    <w:rsid w:val="00944CCC"/>
    <w:rsid w:val="009509BF"/>
    <w:rsid w:val="009511EA"/>
    <w:rsid w:val="009559FA"/>
    <w:rsid w:val="00956B27"/>
    <w:rsid w:val="00966006"/>
    <w:rsid w:val="00981ACE"/>
    <w:rsid w:val="00983810"/>
    <w:rsid w:val="00984EC6"/>
    <w:rsid w:val="00991058"/>
    <w:rsid w:val="00992865"/>
    <w:rsid w:val="00997BB4"/>
    <w:rsid w:val="009A7F22"/>
    <w:rsid w:val="009A7FF9"/>
    <w:rsid w:val="009B1D77"/>
    <w:rsid w:val="009B2348"/>
    <w:rsid w:val="009C7A03"/>
    <w:rsid w:val="009D5E42"/>
    <w:rsid w:val="009E4F72"/>
    <w:rsid w:val="009E52A8"/>
    <w:rsid w:val="009F2289"/>
    <w:rsid w:val="009F3806"/>
    <w:rsid w:val="009F4613"/>
    <w:rsid w:val="009F5051"/>
    <w:rsid w:val="009F719B"/>
    <w:rsid w:val="00A11984"/>
    <w:rsid w:val="00A154B2"/>
    <w:rsid w:val="00A165DA"/>
    <w:rsid w:val="00A2010E"/>
    <w:rsid w:val="00A24B8E"/>
    <w:rsid w:val="00A26644"/>
    <w:rsid w:val="00A26E01"/>
    <w:rsid w:val="00A328B9"/>
    <w:rsid w:val="00A34DD0"/>
    <w:rsid w:val="00A4039D"/>
    <w:rsid w:val="00A41D87"/>
    <w:rsid w:val="00A42473"/>
    <w:rsid w:val="00A56679"/>
    <w:rsid w:val="00A640A6"/>
    <w:rsid w:val="00A64968"/>
    <w:rsid w:val="00A70699"/>
    <w:rsid w:val="00A73D85"/>
    <w:rsid w:val="00A7647C"/>
    <w:rsid w:val="00A77213"/>
    <w:rsid w:val="00A824F3"/>
    <w:rsid w:val="00A82B30"/>
    <w:rsid w:val="00A83F44"/>
    <w:rsid w:val="00A842B1"/>
    <w:rsid w:val="00A92E33"/>
    <w:rsid w:val="00A95EB0"/>
    <w:rsid w:val="00AA44A9"/>
    <w:rsid w:val="00AB0962"/>
    <w:rsid w:val="00AB1402"/>
    <w:rsid w:val="00AB22A7"/>
    <w:rsid w:val="00AB25F8"/>
    <w:rsid w:val="00AB713E"/>
    <w:rsid w:val="00AC4DCC"/>
    <w:rsid w:val="00AC626C"/>
    <w:rsid w:val="00AD01E5"/>
    <w:rsid w:val="00AD2B6A"/>
    <w:rsid w:val="00AE30EF"/>
    <w:rsid w:val="00AF1594"/>
    <w:rsid w:val="00AF7A8A"/>
    <w:rsid w:val="00B04F36"/>
    <w:rsid w:val="00B23399"/>
    <w:rsid w:val="00B263F5"/>
    <w:rsid w:val="00B26676"/>
    <w:rsid w:val="00B32812"/>
    <w:rsid w:val="00B35035"/>
    <w:rsid w:val="00B376BE"/>
    <w:rsid w:val="00B409C5"/>
    <w:rsid w:val="00B40D07"/>
    <w:rsid w:val="00B41D92"/>
    <w:rsid w:val="00B549D9"/>
    <w:rsid w:val="00B56092"/>
    <w:rsid w:val="00B640DA"/>
    <w:rsid w:val="00B74FF8"/>
    <w:rsid w:val="00B8081E"/>
    <w:rsid w:val="00B8104D"/>
    <w:rsid w:val="00B8299B"/>
    <w:rsid w:val="00BA2BD7"/>
    <w:rsid w:val="00BB17A4"/>
    <w:rsid w:val="00BB6CF9"/>
    <w:rsid w:val="00BC43EB"/>
    <w:rsid w:val="00BC7998"/>
    <w:rsid w:val="00BD273D"/>
    <w:rsid w:val="00BE762F"/>
    <w:rsid w:val="00BF1560"/>
    <w:rsid w:val="00BF3B89"/>
    <w:rsid w:val="00BF4249"/>
    <w:rsid w:val="00C06E8F"/>
    <w:rsid w:val="00C14A3B"/>
    <w:rsid w:val="00C20166"/>
    <w:rsid w:val="00C2030C"/>
    <w:rsid w:val="00C20F42"/>
    <w:rsid w:val="00C25237"/>
    <w:rsid w:val="00C452E5"/>
    <w:rsid w:val="00C5138F"/>
    <w:rsid w:val="00C53CAE"/>
    <w:rsid w:val="00C64EE0"/>
    <w:rsid w:val="00C66A3D"/>
    <w:rsid w:val="00C80E4C"/>
    <w:rsid w:val="00C81FF4"/>
    <w:rsid w:val="00C85EB9"/>
    <w:rsid w:val="00CA0C4B"/>
    <w:rsid w:val="00CA0FFC"/>
    <w:rsid w:val="00CA6E49"/>
    <w:rsid w:val="00CB75F9"/>
    <w:rsid w:val="00CC3CE5"/>
    <w:rsid w:val="00CC4D3B"/>
    <w:rsid w:val="00CC5B2B"/>
    <w:rsid w:val="00CC5B42"/>
    <w:rsid w:val="00CD22C0"/>
    <w:rsid w:val="00CD48A4"/>
    <w:rsid w:val="00CE110A"/>
    <w:rsid w:val="00CE1B38"/>
    <w:rsid w:val="00CF3008"/>
    <w:rsid w:val="00CF6121"/>
    <w:rsid w:val="00D06552"/>
    <w:rsid w:val="00D101AE"/>
    <w:rsid w:val="00D11ADC"/>
    <w:rsid w:val="00D27A07"/>
    <w:rsid w:val="00D27F81"/>
    <w:rsid w:val="00D35A17"/>
    <w:rsid w:val="00D444F8"/>
    <w:rsid w:val="00D47340"/>
    <w:rsid w:val="00D55D20"/>
    <w:rsid w:val="00D55FE7"/>
    <w:rsid w:val="00D5657F"/>
    <w:rsid w:val="00D57577"/>
    <w:rsid w:val="00D72AD5"/>
    <w:rsid w:val="00D73110"/>
    <w:rsid w:val="00D7594B"/>
    <w:rsid w:val="00D86197"/>
    <w:rsid w:val="00D8653E"/>
    <w:rsid w:val="00D87C02"/>
    <w:rsid w:val="00D9012A"/>
    <w:rsid w:val="00D937C0"/>
    <w:rsid w:val="00D96099"/>
    <w:rsid w:val="00D9683D"/>
    <w:rsid w:val="00D9721C"/>
    <w:rsid w:val="00DB29A8"/>
    <w:rsid w:val="00DC4161"/>
    <w:rsid w:val="00DC6967"/>
    <w:rsid w:val="00DD6CAB"/>
    <w:rsid w:val="00DE0E31"/>
    <w:rsid w:val="00DE4B74"/>
    <w:rsid w:val="00DF0033"/>
    <w:rsid w:val="00DF5EA1"/>
    <w:rsid w:val="00DF7EDF"/>
    <w:rsid w:val="00E03253"/>
    <w:rsid w:val="00E03DCF"/>
    <w:rsid w:val="00E055C4"/>
    <w:rsid w:val="00E05877"/>
    <w:rsid w:val="00E07F57"/>
    <w:rsid w:val="00E11877"/>
    <w:rsid w:val="00E1202D"/>
    <w:rsid w:val="00E16F56"/>
    <w:rsid w:val="00E20ACC"/>
    <w:rsid w:val="00E2362D"/>
    <w:rsid w:val="00E24D01"/>
    <w:rsid w:val="00E27935"/>
    <w:rsid w:val="00E27ADD"/>
    <w:rsid w:val="00E30CCC"/>
    <w:rsid w:val="00E358B3"/>
    <w:rsid w:val="00E42965"/>
    <w:rsid w:val="00E47933"/>
    <w:rsid w:val="00E540BC"/>
    <w:rsid w:val="00E541ED"/>
    <w:rsid w:val="00E55044"/>
    <w:rsid w:val="00E57305"/>
    <w:rsid w:val="00E57C46"/>
    <w:rsid w:val="00E64812"/>
    <w:rsid w:val="00E65C6F"/>
    <w:rsid w:val="00E66A6A"/>
    <w:rsid w:val="00E7294D"/>
    <w:rsid w:val="00E74D98"/>
    <w:rsid w:val="00E7540A"/>
    <w:rsid w:val="00E7722C"/>
    <w:rsid w:val="00E8220D"/>
    <w:rsid w:val="00E83F19"/>
    <w:rsid w:val="00E911BC"/>
    <w:rsid w:val="00E9154B"/>
    <w:rsid w:val="00E97823"/>
    <w:rsid w:val="00EA44A4"/>
    <w:rsid w:val="00EA4581"/>
    <w:rsid w:val="00EB3360"/>
    <w:rsid w:val="00EB50A9"/>
    <w:rsid w:val="00EC123F"/>
    <w:rsid w:val="00EC277C"/>
    <w:rsid w:val="00EC27F0"/>
    <w:rsid w:val="00EC3B3D"/>
    <w:rsid w:val="00ED1771"/>
    <w:rsid w:val="00EE03B8"/>
    <w:rsid w:val="00EE07AA"/>
    <w:rsid w:val="00EE3A15"/>
    <w:rsid w:val="00EE56D4"/>
    <w:rsid w:val="00EE7D29"/>
    <w:rsid w:val="00EF17DA"/>
    <w:rsid w:val="00EF20CC"/>
    <w:rsid w:val="00EF3801"/>
    <w:rsid w:val="00EF4766"/>
    <w:rsid w:val="00F0013D"/>
    <w:rsid w:val="00F2514B"/>
    <w:rsid w:val="00F2783C"/>
    <w:rsid w:val="00F35839"/>
    <w:rsid w:val="00F36A56"/>
    <w:rsid w:val="00F42A07"/>
    <w:rsid w:val="00F44629"/>
    <w:rsid w:val="00F57DC1"/>
    <w:rsid w:val="00F620CD"/>
    <w:rsid w:val="00F626BD"/>
    <w:rsid w:val="00F65463"/>
    <w:rsid w:val="00F71EF2"/>
    <w:rsid w:val="00F75D1E"/>
    <w:rsid w:val="00F7789B"/>
    <w:rsid w:val="00F82E2D"/>
    <w:rsid w:val="00F864DC"/>
    <w:rsid w:val="00F90B50"/>
    <w:rsid w:val="00F937BE"/>
    <w:rsid w:val="00F97B79"/>
    <w:rsid w:val="00FA0AAF"/>
    <w:rsid w:val="00FA606A"/>
    <w:rsid w:val="00FA60EA"/>
    <w:rsid w:val="00FB31D4"/>
    <w:rsid w:val="00FC02C4"/>
    <w:rsid w:val="00FC12CE"/>
    <w:rsid w:val="00FD0495"/>
    <w:rsid w:val="00FD156F"/>
    <w:rsid w:val="00FD3560"/>
    <w:rsid w:val="00FD63BE"/>
    <w:rsid w:val="00FD7E79"/>
    <w:rsid w:val="00FE1357"/>
    <w:rsid w:val="00FE4FA2"/>
    <w:rsid w:val="00FE5D92"/>
    <w:rsid w:val="00FF6C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529D"/>
    <w:rPr>
      <w:sz w:val="22"/>
    </w:rPr>
  </w:style>
  <w:style w:type="paragraph" w:styleId="Titolo1">
    <w:name w:val="heading 1"/>
    <w:basedOn w:val="Normale"/>
    <w:next w:val="Normale"/>
    <w:link w:val="Titolo1Carattere"/>
    <w:uiPriority w:val="9"/>
    <w:qFormat/>
    <w:rsid w:val="00612500"/>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unhideWhenUsed/>
    <w:qFormat/>
    <w:rsid w:val="00612500"/>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unhideWhenUsed/>
    <w:qFormat/>
    <w:rsid w:val="00612500"/>
    <w:pPr>
      <w:spacing w:after="0"/>
      <w:jc w:val="left"/>
      <w:outlineLvl w:val="2"/>
    </w:pPr>
    <w:rPr>
      <w:smallCaps/>
      <w:spacing w:val="5"/>
      <w:sz w:val="24"/>
      <w:szCs w:val="24"/>
    </w:rPr>
  </w:style>
  <w:style w:type="paragraph" w:styleId="Titolo4">
    <w:name w:val="heading 4"/>
    <w:basedOn w:val="Normale"/>
    <w:next w:val="Normale"/>
    <w:link w:val="Titolo4Carattere"/>
    <w:uiPriority w:val="9"/>
    <w:semiHidden/>
    <w:unhideWhenUsed/>
    <w:qFormat/>
    <w:rsid w:val="00612500"/>
    <w:pPr>
      <w:spacing w:before="240" w:after="0"/>
      <w:jc w:val="left"/>
      <w:outlineLvl w:val="3"/>
    </w:pPr>
    <w:rPr>
      <w:smallCaps/>
      <w:spacing w:val="10"/>
      <w:szCs w:val="22"/>
    </w:rPr>
  </w:style>
  <w:style w:type="paragraph" w:styleId="Titolo5">
    <w:name w:val="heading 5"/>
    <w:basedOn w:val="Normale"/>
    <w:next w:val="Normale"/>
    <w:link w:val="Titolo5Carattere"/>
    <w:uiPriority w:val="9"/>
    <w:semiHidden/>
    <w:unhideWhenUsed/>
    <w:qFormat/>
    <w:rsid w:val="00612500"/>
    <w:pPr>
      <w:spacing w:before="200" w:after="0"/>
      <w:jc w:val="left"/>
      <w:outlineLvl w:val="4"/>
    </w:pPr>
    <w:rPr>
      <w:smallCaps/>
      <w:color w:val="943634" w:themeColor="accent2" w:themeShade="BF"/>
      <w:spacing w:val="10"/>
      <w:szCs w:val="26"/>
    </w:rPr>
  </w:style>
  <w:style w:type="paragraph" w:styleId="Titolo6">
    <w:name w:val="heading 6"/>
    <w:basedOn w:val="Normale"/>
    <w:next w:val="Normale"/>
    <w:link w:val="Titolo6Carattere"/>
    <w:uiPriority w:val="9"/>
    <w:semiHidden/>
    <w:unhideWhenUsed/>
    <w:qFormat/>
    <w:rsid w:val="00612500"/>
    <w:pPr>
      <w:spacing w:after="0"/>
      <w:jc w:val="left"/>
      <w:outlineLvl w:val="5"/>
    </w:pPr>
    <w:rPr>
      <w:smallCaps/>
      <w:color w:val="C0504D" w:themeColor="accent2"/>
      <w:spacing w:val="5"/>
    </w:rPr>
  </w:style>
  <w:style w:type="paragraph" w:styleId="Titolo7">
    <w:name w:val="heading 7"/>
    <w:basedOn w:val="Normale"/>
    <w:next w:val="Normale"/>
    <w:link w:val="Titolo7Carattere"/>
    <w:uiPriority w:val="9"/>
    <w:semiHidden/>
    <w:unhideWhenUsed/>
    <w:qFormat/>
    <w:rsid w:val="00612500"/>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semiHidden/>
    <w:unhideWhenUsed/>
    <w:qFormat/>
    <w:rsid w:val="00612500"/>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semiHidden/>
    <w:unhideWhenUsed/>
    <w:qFormat/>
    <w:rsid w:val="00612500"/>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B5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EB50A9"/>
    <w:rPr>
      <w:color w:val="0000FF" w:themeColor="hyperlink"/>
      <w:u w:val="single"/>
    </w:rPr>
  </w:style>
  <w:style w:type="paragraph" w:styleId="Testonotaapidipagina">
    <w:name w:val="footnote text"/>
    <w:basedOn w:val="Normale"/>
    <w:link w:val="TestonotaapidipaginaCarattere"/>
    <w:uiPriority w:val="99"/>
    <w:unhideWhenUsed/>
    <w:rsid w:val="00EB50A9"/>
    <w:pPr>
      <w:spacing w:after="0" w:line="240" w:lineRule="auto"/>
    </w:pPr>
  </w:style>
  <w:style w:type="character" w:customStyle="1" w:styleId="TestonotaapidipaginaCarattere">
    <w:name w:val="Testo nota a piè di pagina Carattere"/>
    <w:basedOn w:val="Carpredefinitoparagrafo"/>
    <w:link w:val="Testonotaapidipagina"/>
    <w:uiPriority w:val="99"/>
    <w:rsid w:val="00EB50A9"/>
    <w:rPr>
      <w:sz w:val="20"/>
      <w:szCs w:val="20"/>
    </w:rPr>
  </w:style>
  <w:style w:type="character" w:styleId="Rimandonotaapidipagina">
    <w:name w:val="footnote reference"/>
    <w:basedOn w:val="Carpredefinitoparagrafo"/>
    <w:uiPriority w:val="99"/>
    <w:semiHidden/>
    <w:unhideWhenUsed/>
    <w:rsid w:val="00EB50A9"/>
    <w:rPr>
      <w:vertAlign w:val="superscript"/>
    </w:rPr>
  </w:style>
  <w:style w:type="paragraph" w:styleId="Intestazione">
    <w:name w:val="header"/>
    <w:basedOn w:val="Normale"/>
    <w:link w:val="IntestazioneCarattere"/>
    <w:uiPriority w:val="99"/>
    <w:unhideWhenUsed/>
    <w:rsid w:val="00EB50A9"/>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EB50A9"/>
  </w:style>
  <w:style w:type="paragraph" w:styleId="Pidipagina">
    <w:name w:val="footer"/>
    <w:basedOn w:val="Normale"/>
    <w:link w:val="PidipaginaCarattere"/>
    <w:uiPriority w:val="99"/>
    <w:unhideWhenUsed/>
    <w:rsid w:val="00EB50A9"/>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EB50A9"/>
  </w:style>
  <w:style w:type="paragraph" w:styleId="Nessunaspaziatura">
    <w:name w:val="No Spacing"/>
    <w:basedOn w:val="Normale"/>
    <w:link w:val="NessunaspaziaturaCarattere"/>
    <w:uiPriority w:val="1"/>
    <w:qFormat/>
    <w:rsid w:val="00612500"/>
    <w:pPr>
      <w:spacing w:after="0" w:line="240" w:lineRule="auto"/>
    </w:pPr>
  </w:style>
  <w:style w:type="character" w:styleId="Collegamentovisitato">
    <w:name w:val="FollowedHyperlink"/>
    <w:basedOn w:val="Carpredefinitoparagrafo"/>
    <w:uiPriority w:val="99"/>
    <w:semiHidden/>
    <w:unhideWhenUsed/>
    <w:rsid w:val="00747AB4"/>
    <w:rPr>
      <w:color w:val="800080" w:themeColor="followedHyperlink"/>
      <w:u w:val="single"/>
    </w:rPr>
  </w:style>
  <w:style w:type="paragraph" w:styleId="Paragrafoelenco">
    <w:name w:val="List Paragraph"/>
    <w:basedOn w:val="Normale"/>
    <w:uiPriority w:val="34"/>
    <w:qFormat/>
    <w:rsid w:val="00612500"/>
    <w:pPr>
      <w:ind w:left="720"/>
      <w:contextualSpacing/>
    </w:pPr>
  </w:style>
  <w:style w:type="paragraph" w:styleId="Testofumetto">
    <w:name w:val="Balloon Text"/>
    <w:basedOn w:val="Normale"/>
    <w:link w:val="TestofumettoCarattere"/>
    <w:uiPriority w:val="99"/>
    <w:semiHidden/>
    <w:unhideWhenUsed/>
    <w:rsid w:val="0014466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4661"/>
    <w:rPr>
      <w:rFonts w:ascii="Tahoma" w:hAnsi="Tahoma" w:cs="Tahoma"/>
      <w:sz w:val="16"/>
      <w:szCs w:val="16"/>
    </w:rPr>
  </w:style>
  <w:style w:type="character" w:customStyle="1" w:styleId="Titolo2Carattere">
    <w:name w:val="Titolo 2 Carattere"/>
    <w:basedOn w:val="Carpredefinitoparagrafo"/>
    <w:link w:val="Titolo2"/>
    <w:uiPriority w:val="9"/>
    <w:rsid w:val="00612500"/>
    <w:rPr>
      <w:smallCaps/>
      <w:spacing w:val="5"/>
      <w:sz w:val="28"/>
      <w:szCs w:val="28"/>
    </w:rPr>
  </w:style>
  <w:style w:type="paragraph" w:styleId="NormaleWeb">
    <w:name w:val="Normal (Web)"/>
    <w:basedOn w:val="Normale"/>
    <w:uiPriority w:val="99"/>
    <w:semiHidden/>
    <w:unhideWhenUsed/>
    <w:rsid w:val="001A12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estonotadichiusura">
    <w:name w:val="endnote text"/>
    <w:basedOn w:val="Normale"/>
    <w:link w:val="TestonotadichiusuraCarattere"/>
    <w:uiPriority w:val="99"/>
    <w:semiHidden/>
    <w:unhideWhenUsed/>
    <w:rsid w:val="00CD22C0"/>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CD22C0"/>
    <w:rPr>
      <w:sz w:val="20"/>
      <w:szCs w:val="20"/>
    </w:rPr>
  </w:style>
  <w:style w:type="character" w:styleId="Rimandonotadichiusura">
    <w:name w:val="endnote reference"/>
    <w:basedOn w:val="Carpredefinitoparagrafo"/>
    <w:uiPriority w:val="99"/>
    <w:semiHidden/>
    <w:unhideWhenUsed/>
    <w:rsid w:val="00CD22C0"/>
    <w:rPr>
      <w:vertAlign w:val="superscript"/>
    </w:rPr>
  </w:style>
  <w:style w:type="character" w:styleId="Enfasicorsivo">
    <w:name w:val="Emphasis"/>
    <w:uiPriority w:val="20"/>
    <w:qFormat/>
    <w:rsid w:val="00612500"/>
    <w:rPr>
      <w:b/>
      <w:i/>
      <w:spacing w:val="10"/>
    </w:rPr>
  </w:style>
  <w:style w:type="paragraph" w:customStyle="1" w:styleId="Default">
    <w:name w:val="Default"/>
    <w:rsid w:val="00F7789B"/>
    <w:pPr>
      <w:autoSpaceDE w:val="0"/>
      <w:autoSpaceDN w:val="0"/>
      <w:adjustRightInd w:val="0"/>
      <w:spacing w:after="0" w:line="240" w:lineRule="auto"/>
    </w:pPr>
    <w:rPr>
      <w:rFonts w:ascii="Arial" w:hAnsi="Arial" w:cs="Arial"/>
      <w:color w:val="000000"/>
      <w:sz w:val="24"/>
      <w:szCs w:val="24"/>
    </w:rPr>
  </w:style>
  <w:style w:type="character" w:customStyle="1" w:styleId="notranslate">
    <w:name w:val="notranslate"/>
    <w:basedOn w:val="Carpredefinitoparagrafo"/>
    <w:rsid w:val="00065831"/>
  </w:style>
  <w:style w:type="character" w:customStyle="1" w:styleId="Titolo1Carattere">
    <w:name w:val="Titolo 1 Carattere"/>
    <w:basedOn w:val="Carpredefinitoparagrafo"/>
    <w:link w:val="Titolo1"/>
    <w:uiPriority w:val="9"/>
    <w:rsid w:val="00612500"/>
    <w:rPr>
      <w:smallCaps/>
      <w:spacing w:val="5"/>
      <w:sz w:val="32"/>
      <w:szCs w:val="32"/>
    </w:rPr>
  </w:style>
  <w:style w:type="character" w:customStyle="1" w:styleId="Titolo3Carattere">
    <w:name w:val="Titolo 3 Carattere"/>
    <w:basedOn w:val="Carpredefinitoparagrafo"/>
    <w:link w:val="Titolo3"/>
    <w:uiPriority w:val="9"/>
    <w:rsid w:val="00612500"/>
    <w:rPr>
      <w:smallCaps/>
      <w:spacing w:val="5"/>
      <w:sz w:val="24"/>
      <w:szCs w:val="24"/>
    </w:rPr>
  </w:style>
  <w:style w:type="character" w:customStyle="1" w:styleId="bodycopy">
    <w:name w:val="bodycopy"/>
    <w:basedOn w:val="Carpredefinitoparagrafo"/>
    <w:rsid w:val="001C1EE6"/>
  </w:style>
  <w:style w:type="character" w:customStyle="1" w:styleId="hps">
    <w:name w:val="hps"/>
    <w:basedOn w:val="Carpredefinitoparagrafo"/>
    <w:rsid w:val="001C1EE6"/>
  </w:style>
  <w:style w:type="character" w:customStyle="1" w:styleId="longtext">
    <w:name w:val="long_text"/>
    <w:basedOn w:val="Carpredefinitoparagrafo"/>
    <w:rsid w:val="001C1EE6"/>
  </w:style>
  <w:style w:type="character" w:customStyle="1" w:styleId="atn">
    <w:name w:val="atn"/>
    <w:basedOn w:val="Carpredefinitoparagrafo"/>
    <w:rsid w:val="001C1EE6"/>
  </w:style>
  <w:style w:type="character" w:styleId="Rimandocommento">
    <w:name w:val="annotation reference"/>
    <w:basedOn w:val="Carpredefinitoparagrafo"/>
    <w:uiPriority w:val="99"/>
    <w:semiHidden/>
    <w:unhideWhenUsed/>
    <w:rsid w:val="0012004A"/>
    <w:rPr>
      <w:sz w:val="16"/>
      <w:szCs w:val="16"/>
    </w:rPr>
  </w:style>
  <w:style w:type="paragraph" w:styleId="Testocommento">
    <w:name w:val="annotation text"/>
    <w:basedOn w:val="Normale"/>
    <w:link w:val="TestocommentoCarattere"/>
    <w:uiPriority w:val="99"/>
    <w:semiHidden/>
    <w:unhideWhenUsed/>
    <w:rsid w:val="0012004A"/>
    <w:pPr>
      <w:spacing w:line="240" w:lineRule="auto"/>
    </w:pPr>
  </w:style>
  <w:style w:type="character" w:customStyle="1" w:styleId="TestocommentoCarattere">
    <w:name w:val="Testo commento Carattere"/>
    <w:basedOn w:val="Carpredefinitoparagrafo"/>
    <w:link w:val="Testocommento"/>
    <w:uiPriority w:val="99"/>
    <w:semiHidden/>
    <w:rsid w:val="0012004A"/>
    <w:rPr>
      <w:sz w:val="20"/>
      <w:szCs w:val="20"/>
    </w:rPr>
  </w:style>
  <w:style w:type="paragraph" w:styleId="Soggettocommento">
    <w:name w:val="annotation subject"/>
    <w:basedOn w:val="Testocommento"/>
    <w:next w:val="Testocommento"/>
    <w:link w:val="SoggettocommentoCarattere"/>
    <w:uiPriority w:val="99"/>
    <w:semiHidden/>
    <w:unhideWhenUsed/>
    <w:rsid w:val="0012004A"/>
    <w:rPr>
      <w:b/>
      <w:bCs/>
    </w:rPr>
  </w:style>
  <w:style w:type="character" w:customStyle="1" w:styleId="SoggettocommentoCarattere">
    <w:name w:val="Soggetto commento Carattere"/>
    <w:basedOn w:val="TestocommentoCarattere"/>
    <w:link w:val="Soggettocommento"/>
    <w:uiPriority w:val="99"/>
    <w:semiHidden/>
    <w:rsid w:val="0012004A"/>
    <w:rPr>
      <w:b/>
      <w:bCs/>
      <w:sz w:val="20"/>
      <w:szCs w:val="20"/>
    </w:rPr>
  </w:style>
  <w:style w:type="character" w:customStyle="1" w:styleId="ptitle">
    <w:name w:val="p_title"/>
    <w:basedOn w:val="Carpredefinitoparagrafo"/>
    <w:rsid w:val="009509BF"/>
  </w:style>
  <w:style w:type="character" w:customStyle="1" w:styleId="google-src-text1">
    <w:name w:val="google-src-text1"/>
    <w:basedOn w:val="Carpredefinitoparagrafo"/>
    <w:rsid w:val="009509BF"/>
    <w:rPr>
      <w:vanish/>
      <w:webHidden w:val="0"/>
      <w:specVanish w:val="0"/>
    </w:rPr>
  </w:style>
  <w:style w:type="paragraph" w:styleId="Titolo">
    <w:name w:val="Title"/>
    <w:basedOn w:val="Normale"/>
    <w:next w:val="Normale"/>
    <w:link w:val="TitoloCarattere"/>
    <w:uiPriority w:val="10"/>
    <w:qFormat/>
    <w:rsid w:val="00612500"/>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612500"/>
    <w:rPr>
      <w:smallCaps/>
      <w:sz w:val="48"/>
      <w:szCs w:val="48"/>
    </w:rPr>
  </w:style>
  <w:style w:type="character" w:customStyle="1" w:styleId="Titolo4Carattere">
    <w:name w:val="Titolo 4 Carattere"/>
    <w:basedOn w:val="Carpredefinitoparagrafo"/>
    <w:link w:val="Titolo4"/>
    <w:uiPriority w:val="9"/>
    <w:semiHidden/>
    <w:rsid w:val="00612500"/>
    <w:rPr>
      <w:smallCaps/>
      <w:spacing w:val="10"/>
      <w:sz w:val="22"/>
      <w:szCs w:val="22"/>
    </w:rPr>
  </w:style>
  <w:style w:type="character" w:customStyle="1" w:styleId="Titolo5Carattere">
    <w:name w:val="Titolo 5 Carattere"/>
    <w:basedOn w:val="Carpredefinitoparagrafo"/>
    <w:link w:val="Titolo5"/>
    <w:uiPriority w:val="9"/>
    <w:semiHidden/>
    <w:rsid w:val="00612500"/>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semiHidden/>
    <w:rsid w:val="00612500"/>
    <w:rPr>
      <w:smallCaps/>
      <w:color w:val="C0504D" w:themeColor="accent2"/>
      <w:spacing w:val="5"/>
      <w:sz w:val="22"/>
    </w:rPr>
  </w:style>
  <w:style w:type="character" w:customStyle="1" w:styleId="Titolo7Carattere">
    <w:name w:val="Titolo 7 Carattere"/>
    <w:basedOn w:val="Carpredefinitoparagrafo"/>
    <w:link w:val="Titolo7"/>
    <w:uiPriority w:val="9"/>
    <w:semiHidden/>
    <w:rsid w:val="00612500"/>
    <w:rPr>
      <w:b/>
      <w:smallCaps/>
      <w:color w:val="C0504D" w:themeColor="accent2"/>
      <w:spacing w:val="10"/>
    </w:rPr>
  </w:style>
  <w:style w:type="character" w:customStyle="1" w:styleId="Titolo8Carattere">
    <w:name w:val="Titolo 8 Carattere"/>
    <w:basedOn w:val="Carpredefinitoparagrafo"/>
    <w:link w:val="Titolo8"/>
    <w:uiPriority w:val="9"/>
    <w:semiHidden/>
    <w:rsid w:val="00612500"/>
    <w:rPr>
      <w:b/>
      <w:i/>
      <w:smallCaps/>
      <w:color w:val="943634" w:themeColor="accent2" w:themeShade="BF"/>
    </w:rPr>
  </w:style>
  <w:style w:type="character" w:customStyle="1" w:styleId="Titolo9Carattere">
    <w:name w:val="Titolo 9 Carattere"/>
    <w:basedOn w:val="Carpredefinitoparagrafo"/>
    <w:link w:val="Titolo9"/>
    <w:uiPriority w:val="9"/>
    <w:semiHidden/>
    <w:rsid w:val="00612500"/>
    <w:rPr>
      <w:b/>
      <w:i/>
      <w:smallCaps/>
      <w:color w:val="622423" w:themeColor="accent2" w:themeShade="7F"/>
    </w:rPr>
  </w:style>
  <w:style w:type="paragraph" w:styleId="Didascalia">
    <w:name w:val="caption"/>
    <w:basedOn w:val="Normale"/>
    <w:next w:val="Normale"/>
    <w:uiPriority w:val="35"/>
    <w:semiHidden/>
    <w:unhideWhenUsed/>
    <w:qFormat/>
    <w:rsid w:val="00612500"/>
    <w:rPr>
      <w:b/>
      <w:bCs/>
      <w:caps/>
      <w:sz w:val="16"/>
      <w:szCs w:val="18"/>
    </w:rPr>
  </w:style>
  <w:style w:type="paragraph" w:styleId="Sottotitolo">
    <w:name w:val="Subtitle"/>
    <w:basedOn w:val="Normale"/>
    <w:next w:val="Normale"/>
    <w:link w:val="SottotitoloCarattere"/>
    <w:uiPriority w:val="11"/>
    <w:qFormat/>
    <w:rsid w:val="00612500"/>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612500"/>
    <w:rPr>
      <w:rFonts w:asciiTheme="majorHAnsi" w:eastAsiaTheme="majorEastAsia" w:hAnsiTheme="majorHAnsi" w:cstheme="majorBidi"/>
      <w:szCs w:val="22"/>
    </w:rPr>
  </w:style>
  <w:style w:type="character" w:styleId="Enfasigrassetto">
    <w:name w:val="Strong"/>
    <w:uiPriority w:val="22"/>
    <w:qFormat/>
    <w:rsid w:val="00612500"/>
    <w:rPr>
      <w:b/>
      <w:color w:val="C0504D" w:themeColor="accent2"/>
    </w:rPr>
  </w:style>
  <w:style w:type="character" w:customStyle="1" w:styleId="NessunaspaziaturaCarattere">
    <w:name w:val="Nessuna spaziatura Carattere"/>
    <w:basedOn w:val="Carpredefinitoparagrafo"/>
    <w:link w:val="Nessunaspaziatura"/>
    <w:uiPriority w:val="1"/>
    <w:rsid w:val="00612500"/>
  </w:style>
  <w:style w:type="paragraph" w:styleId="Citazione">
    <w:name w:val="Quote"/>
    <w:basedOn w:val="Normale"/>
    <w:next w:val="Normale"/>
    <w:link w:val="CitazioneCarattere"/>
    <w:uiPriority w:val="29"/>
    <w:qFormat/>
    <w:rsid w:val="00612500"/>
    <w:rPr>
      <w:i/>
    </w:rPr>
  </w:style>
  <w:style w:type="character" w:customStyle="1" w:styleId="CitazioneCarattere">
    <w:name w:val="Citazione Carattere"/>
    <w:basedOn w:val="Carpredefinitoparagrafo"/>
    <w:link w:val="Citazione"/>
    <w:uiPriority w:val="29"/>
    <w:rsid w:val="00612500"/>
    <w:rPr>
      <w:i/>
    </w:rPr>
  </w:style>
  <w:style w:type="paragraph" w:styleId="Citazioneintensa">
    <w:name w:val="Intense Quote"/>
    <w:basedOn w:val="Normale"/>
    <w:next w:val="Normale"/>
    <w:link w:val="CitazioneintensaCarattere"/>
    <w:uiPriority w:val="30"/>
    <w:qFormat/>
    <w:rsid w:val="00612500"/>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612500"/>
    <w:rPr>
      <w:b/>
      <w:i/>
      <w:color w:val="FFFFFF" w:themeColor="background1"/>
      <w:shd w:val="clear" w:color="auto" w:fill="C0504D" w:themeFill="accent2"/>
    </w:rPr>
  </w:style>
  <w:style w:type="character" w:styleId="Enfasidelicata">
    <w:name w:val="Subtle Emphasis"/>
    <w:uiPriority w:val="19"/>
    <w:qFormat/>
    <w:rsid w:val="00612500"/>
    <w:rPr>
      <w:i/>
    </w:rPr>
  </w:style>
  <w:style w:type="character" w:styleId="Enfasiintensa">
    <w:name w:val="Intense Emphasis"/>
    <w:uiPriority w:val="21"/>
    <w:qFormat/>
    <w:rsid w:val="00612500"/>
    <w:rPr>
      <w:b/>
      <w:i/>
      <w:color w:val="C0504D" w:themeColor="accent2"/>
      <w:spacing w:val="10"/>
    </w:rPr>
  </w:style>
  <w:style w:type="character" w:styleId="Riferimentodelicato">
    <w:name w:val="Subtle Reference"/>
    <w:uiPriority w:val="31"/>
    <w:qFormat/>
    <w:rsid w:val="00612500"/>
    <w:rPr>
      <w:b/>
    </w:rPr>
  </w:style>
  <w:style w:type="character" w:styleId="Riferimentointenso">
    <w:name w:val="Intense Reference"/>
    <w:uiPriority w:val="32"/>
    <w:qFormat/>
    <w:rsid w:val="00612500"/>
    <w:rPr>
      <w:b/>
      <w:bCs/>
      <w:smallCaps/>
      <w:spacing w:val="5"/>
      <w:sz w:val="22"/>
      <w:szCs w:val="22"/>
      <w:u w:val="single"/>
    </w:rPr>
  </w:style>
  <w:style w:type="character" w:styleId="Titolodellibro">
    <w:name w:val="Book Title"/>
    <w:uiPriority w:val="33"/>
    <w:qFormat/>
    <w:rsid w:val="00612500"/>
    <w:rPr>
      <w:rFonts w:asciiTheme="majorHAnsi" w:eastAsiaTheme="majorEastAsia" w:hAnsiTheme="majorHAnsi" w:cstheme="majorBidi"/>
      <w:i/>
      <w:iCs/>
      <w:sz w:val="20"/>
      <w:szCs w:val="20"/>
    </w:rPr>
  </w:style>
  <w:style w:type="paragraph" w:styleId="Titolosommario">
    <w:name w:val="TOC Heading"/>
    <w:basedOn w:val="Titolo1"/>
    <w:next w:val="Normale"/>
    <w:uiPriority w:val="39"/>
    <w:semiHidden/>
    <w:unhideWhenUsed/>
    <w:qFormat/>
    <w:rsid w:val="00612500"/>
    <w:pPr>
      <w:outlineLvl w:val="9"/>
    </w:pPr>
    <w:rPr>
      <w:lang w:bidi="en-US"/>
    </w:rPr>
  </w:style>
  <w:style w:type="table" w:styleId="Sfondomedio1-Colore2">
    <w:name w:val="Medium Shading 1 Accent 2"/>
    <w:basedOn w:val="Tabellanormale"/>
    <w:uiPriority w:val="63"/>
    <w:rsid w:val="00F0013D"/>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fondochiaro-Colore2">
    <w:name w:val="Light Shading Accent 2"/>
    <w:basedOn w:val="Tabellanormale"/>
    <w:uiPriority w:val="60"/>
    <w:rsid w:val="001F4276"/>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29D"/>
    <w:rPr>
      <w:sz w:val="22"/>
    </w:rPr>
  </w:style>
  <w:style w:type="paragraph" w:styleId="Heading1">
    <w:name w:val="heading 1"/>
    <w:basedOn w:val="Normal"/>
    <w:next w:val="Normal"/>
    <w:link w:val="Heading1Char"/>
    <w:uiPriority w:val="9"/>
    <w:qFormat/>
    <w:rsid w:val="00612500"/>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612500"/>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612500"/>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612500"/>
    <w:pPr>
      <w:spacing w:before="240" w:after="0"/>
      <w:jc w:val="left"/>
      <w:outlineLvl w:val="3"/>
    </w:pPr>
    <w:rPr>
      <w:smallCaps/>
      <w:spacing w:val="10"/>
      <w:szCs w:val="22"/>
    </w:rPr>
  </w:style>
  <w:style w:type="paragraph" w:styleId="Heading5">
    <w:name w:val="heading 5"/>
    <w:basedOn w:val="Normal"/>
    <w:next w:val="Normal"/>
    <w:link w:val="Heading5Char"/>
    <w:uiPriority w:val="9"/>
    <w:semiHidden/>
    <w:unhideWhenUsed/>
    <w:qFormat/>
    <w:rsid w:val="00612500"/>
    <w:pPr>
      <w:spacing w:before="200" w:after="0"/>
      <w:jc w:val="left"/>
      <w:outlineLvl w:val="4"/>
    </w:pPr>
    <w:rPr>
      <w:smallCaps/>
      <w:color w:val="943634" w:themeColor="accent2" w:themeShade="BF"/>
      <w:spacing w:val="10"/>
      <w:szCs w:val="26"/>
    </w:rPr>
  </w:style>
  <w:style w:type="paragraph" w:styleId="Heading6">
    <w:name w:val="heading 6"/>
    <w:basedOn w:val="Normal"/>
    <w:next w:val="Normal"/>
    <w:link w:val="Heading6Char"/>
    <w:uiPriority w:val="9"/>
    <w:semiHidden/>
    <w:unhideWhenUsed/>
    <w:qFormat/>
    <w:rsid w:val="00612500"/>
    <w:pPr>
      <w:spacing w:after="0"/>
      <w:jc w:val="left"/>
      <w:outlineLvl w:val="5"/>
    </w:pPr>
    <w:rPr>
      <w:smallCaps/>
      <w:color w:val="C0504D" w:themeColor="accent2"/>
      <w:spacing w:val="5"/>
    </w:rPr>
  </w:style>
  <w:style w:type="paragraph" w:styleId="Heading7">
    <w:name w:val="heading 7"/>
    <w:basedOn w:val="Normal"/>
    <w:next w:val="Normal"/>
    <w:link w:val="Heading7Char"/>
    <w:uiPriority w:val="9"/>
    <w:semiHidden/>
    <w:unhideWhenUsed/>
    <w:qFormat/>
    <w:rsid w:val="00612500"/>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612500"/>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612500"/>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5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50A9"/>
    <w:rPr>
      <w:color w:val="0000FF" w:themeColor="hyperlink"/>
      <w:u w:val="single"/>
    </w:rPr>
  </w:style>
  <w:style w:type="paragraph" w:styleId="FootnoteText">
    <w:name w:val="footnote text"/>
    <w:basedOn w:val="Normal"/>
    <w:link w:val="FootnoteTextChar"/>
    <w:uiPriority w:val="99"/>
    <w:unhideWhenUsed/>
    <w:rsid w:val="00EB50A9"/>
    <w:pPr>
      <w:spacing w:after="0" w:line="240" w:lineRule="auto"/>
    </w:pPr>
  </w:style>
  <w:style w:type="character" w:customStyle="1" w:styleId="FootnoteTextChar">
    <w:name w:val="Footnote Text Char"/>
    <w:basedOn w:val="DefaultParagraphFont"/>
    <w:link w:val="FootnoteText"/>
    <w:uiPriority w:val="99"/>
    <w:rsid w:val="00EB50A9"/>
    <w:rPr>
      <w:sz w:val="20"/>
      <w:szCs w:val="20"/>
    </w:rPr>
  </w:style>
  <w:style w:type="character" w:styleId="FootnoteReference">
    <w:name w:val="footnote reference"/>
    <w:basedOn w:val="DefaultParagraphFont"/>
    <w:uiPriority w:val="99"/>
    <w:semiHidden/>
    <w:unhideWhenUsed/>
    <w:rsid w:val="00EB50A9"/>
    <w:rPr>
      <w:vertAlign w:val="superscript"/>
    </w:rPr>
  </w:style>
  <w:style w:type="paragraph" w:styleId="Header">
    <w:name w:val="header"/>
    <w:basedOn w:val="Normal"/>
    <w:link w:val="HeaderChar"/>
    <w:uiPriority w:val="99"/>
    <w:unhideWhenUsed/>
    <w:rsid w:val="00EB50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0A9"/>
  </w:style>
  <w:style w:type="paragraph" w:styleId="Footer">
    <w:name w:val="footer"/>
    <w:basedOn w:val="Normal"/>
    <w:link w:val="FooterChar"/>
    <w:uiPriority w:val="99"/>
    <w:unhideWhenUsed/>
    <w:rsid w:val="00EB5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0A9"/>
  </w:style>
  <w:style w:type="paragraph" w:styleId="NoSpacing">
    <w:name w:val="No Spacing"/>
    <w:basedOn w:val="Normal"/>
    <w:link w:val="NoSpacingChar"/>
    <w:uiPriority w:val="1"/>
    <w:qFormat/>
    <w:rsid w:val="00612500"/>
    <w:pPr>
      <w:spacing w:after="0" w:line="240" w:lineRule="auto"/>
    </w:pPr>
  </w:style>
  <w:style w:type="character" w:styleId="FollowedHyperlink">
    <w:name w:val="FollowedHyperlink"/>
    <w:basedOn w:val="DefaultParagraphFont"/>
    <w:uiPriority w:val="99"/>
    <w:semiHidden/>
    <w:unhideWhenUsed/>
    <w:rsid w:val="00747AB4"/>
    <w:rPr>
      <w:color w:val="800080" w:themeColor="followedHyperlink"/>
      <w:u w:val="single"/>
    </w:rPr>
  </w:style>
  <w:style w:type="paragraph" w:styleId="ListParagraph">
    <w:name w:val="List Paragraph"/>
    <w:basedOn w:val="Normal"/>
    <w:uiPriority w:val="34"/>
    <w:qFormat/>
    <w:rsid w:val="00612500"/>
    <w:pPr>
      <w:ind w:left="720"/>
      <w:contextualSpacing/>
    </w:pPr>
  </w:style>
  <w:style w:type="paragraph" w:styleId="BalloonText">
    <w:name w:val="Balloon Text"/>
    <w:basedOn w:val="Normal"/>
    <w:link w:val="BalloonTextChar"/>
    <w:uiPriority w:val="99"/>
    <w:semiHidden/>
    <w:unhideWhenUsed/>
    <w:rsid w:val="001446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661"/>
    <w:rPr>
      <w:rFonts w:ascii="Tahoma" w:hAnsi="Tahoma" w:cs="Tahoma"/>
      <w:sz w:val="16"/>
      <w:szCs w:val="16"/>
    </w:rPr>
  </w:style>
  <w:style w:type="character" w:customStyle="1" w:styleId="Heading2Char">
    <w:name w:val="Heading 2 Char"/>
    <w:basedOn w:val="DefaultParagraphFont"/>
    <w:link w:val="Heading2"/>
    <w:uiPriority w:val="9"/>
    <w:rsid w:val="00612500"/>
    <w:rPr>
      <w:smallCaps/>
      <w:spacing w:val="5"/>
      <w:sz w:val="28"/>
      <w:szCs w:val="28"/>
    </w:rPr>
  </w:style>
  <w:style w:type="paragraph" w:styleId="NormalWeb">
    <w:name w:val="Normal (Web)"/>
    <w:basedOn w:val="Normal"/>
    <w:uiPriority w:val="99"/>
    <w:semiHidden/>
    <w:unhideWhenUsed/>
    <w:rsid w:val="001A12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CD22C0"/>
    <w:pPr>
      <w:spacing w:after="0" w:line="240" w:lineRule="auto"/>
    </w:pPr>
  </w:style>
  <w:style w:type="character" w:customStyle="1" w:styleId="EndnoteTextChar">
    <w:name w:val="Endnote Text Char"/>
    <w:basedOn w:val="DefaultParagraphFont"/>
    <w:link w:val="EndnoteText"/>
    <w:uiPriority w:val="99"/>
    <w:semiHidden/>
    <w:rsid w:val="00CD22C0"/>
    <w:rPr>
      <w:sz w:val="20"/>
      <w:szCs w:val="20"/>
    </w:rPr>
  </w:style>
  <w:style w:type="character" w:styleId="EndnoteReference">
    <w:name w:val="endnote reference"/>
    <w:basedOn w:val="DefaultParagraphFont"/>
    <w:uiPriority w:val="99"/>
    <w:semiHidden/>
    <w:unhideWhenUsed/>
    <w:rsid w:val="00CD22C0"/>
    <w:rPr>
      <w:vertAlign w:val="superscript"/>
    </w:rPr>
  </w:style>
  <w:style w:type="character" w:styleId="Emphasis">
    <w:name w:val="Emphasis"/>
    <w:uiPriority w:val="20"/>
    <w:qFormat/>
    <w:rsid w:val="00612500"/>
    <w:rPr>
      <w:b/>
      <w:i/>
      <w:spacing w:val="10"/>
    </w:rPr>
  </w:style>
  <w:style w:type="paragraph" w:customStyle="1" w:styleId="Default">
    <w:name w:val="Default"/>
    <w:rsid w:val="00F7789B"/>
    <w:pPr>
      <w:autoSpaceDE w:val="0"/>
      <w:autoSpaceDN w:val="0"/>
      <w:adjustRightInd w:val="0"/>
      <w:spacing w:after="0" w:line="240" w:lineRule="auto"/>
    </w:pPr>
    <w:rPr>
      <w:rFonts w:ascii="Arial" w:hAnsi="Arial" w:cs="Arial"/>
      <w:color w:val="000000"/>
      <w:sz w:val="24"/>
      <w:szCs w:val="24"/>
    </w:rPr>
  </w:style>
  <w:style w:type="character" w:customStyle="1" w:styleId="notranslate">
    <w:name w:val="notranslate"/>
    <w:basedOn w:val="DefaultParagraphFont"/>
    <w:rsid w:val="00065831"/>
  </w:style>
  <w:style w:type="character" w:customStyle="1" w:styleId="Heading1Char">
    <w:name w:val="Heading 1 Char"/>
    <w:basedOn w:val="DefaultParagraphFont"/>
    <w:link w:val="Heading1"/>
    <w:uiPriority w:val="9"/>
    <w:rsid w:val="00612500"/>
    <w:rPr>
      <w:smallCaps/>
      <w:spacing w:val="5"/>
      <w:sz w:val="32"/>
      <w:szCs w:val="32"/>
    </w:rPr>
  </w:style>
  <w:style w:type="character" w:customStyle="1" w:styleId="Heading3Char">
    <w:name w:val="Heading 3 Char"/>
    <w:basedOn w:val="DefaultParagraphFont"/>
    <w:link w:val="Heading3"/>
    <w:uiPriority w:val="9"/>
    <w:rsid w:val="00612500"/>
    <w:rPr>
      <w:smallCaps/>
      <w:spacing w:val="5"/>
      <w:sz w:val="24"/>
      <w:szCs w:val="24"/>
    </w:rPr>
  </w:style>
  <w:style w:type="character" w:customStyle="1" w:styleId="bodycopy">
    <w:name w:val="bodycopy"/>
    <w:basedOn w:val="DefaultParagraphFont"/>
    <w:rsid w:val="001C1EE6"/>
  </w:style>
  <w:style w:type="character" w:customStyle="1" w:styleId="hps">
    <w:name w:val="hps"/>
    <w:basedOn w:val="DefaultParagraphFont"/>
    <w:rsid w:val="001C1EE6"/>
  </w:style>
  <w:style w:type="character" w:customStyle="1" w:styleId="longtext">
    <w:name w:val="long_text"/>
    <w:basedOn w:val="DefaultParagraphFont"/>
    <w:rsid w:val="001C1EE6"/>
  </w:style>
  <w:style w:type="character" w:customStyle="1" w:styleId="atn">
    <w:name w:val="atn"/>
    <w:basedOn w:val="DefaultParagraphFont"/>
    <w:rsid w:val="001C1EE6"/>
  </w:style>
  <w:style w:type="character" w:styleId="CommentReference">
    <w:name w:val="annotation reference"/>
    <w:basedOn w:val="DefaultParagraphFont"/>
    <w:uiPriority w:val="99"/>
    <w:semiHidden/>
    <w:unhideWhenUsed/>
    <w:rsid w:val="0012004A"/>
    <w:rPr>
      <w:sz w:val="16"/>
      <w:szCs w:val="16"/>
    </w:rPr>
  </w:style>
  <w:style w:type="paragraph" w:styleId="CommentText">
    <w:name w:val="annotation text"/>
    <w:basedOn w:val="Normal"/>
    <w:link w:val="CommentTextChar"/>
    <w:uiPriority w:val="99"/>
    <w:semiHidden/>
    <w:unhideWhenUsed/>
    <w:rsid w:val="0012004A"/>
    <w:pPr>
      <w:spacing w:line="240" w:lineRule="auto"/>
    </w:pPr>
  </w:style>
  <w:style w:type="character" w:customStyle="1" w:styleId="CommentTextChar">
    <w:name w:val="Comment Text Char"/>
    <w:basedOn w:val="DefaultParagraphFont"/>
    <w:link w:val="CommentText"/>
    <w:uiPriority w:val="99"/>
    <w:semiHidden/>
    <w:rsid w:val="0012004A"/>
    <w:rPr>
      <w:sz w:val="20"/>
      <w:szCs w:val="20"/>
    </w:rPr>
  </w:style>
  <w:style w:type="paragraph" w:styleId="CommentSubject">
    <w:name w:val="annotation subject"/>
    <w:basedOn w:val="CommentText"/>
    <w:next w:val="CommentText"/>
    <w:link w:val="CommentSubjectChar"/>
    <w:uiPriority w:val="99"/>
    <w:semiHidden/>
    <w:unhideWhenUsed/>
    <w:rsid w:val="0012004A"/>
    <w:rPr>
      <w:b/>
      <w:bCs/>
    </w:rPr>
  </w:style>
  <w:style w:type="character" w:customStyle="1" w:styleId="CommentSubjectChar">
    <w:name w:val="Comment Subject Char"/>
    <w:basedOn w:val="CommentTextChar"/>
    <w:link w:val="CommentSubject"/>
    <w:uiPriority w:val="99"/>
    <w:semiHidden/>
    <w:rsid w:val="0012004A"/>
    <w:rPr>
      <w:b/>
      <w:bCs/>
      <w:sz w:val="20"/>
      <w:szCs w:val="20"/>
    </w:rPr>
  </w:style>
  <w:style w:type="character" w:customStyle="1" w:styleId="ptitle">
    <w:name w:val="p_title"/>
    <w:basedOn w:val="DefaultParagraphFont"/>
    <w:rsid w:val="009509BF"/>
  </w:style>
  <w:style w:type="character" w:customStyle="1" w:styleId="google-src-text1">
    <w:name w:val="google-src-text1"/>
    <w:basedOn w:val="DefaultParagraphFont"/>
    <w:rsid w:val="009509BF"/>
    <w:rPr>
      <w:vanish/>
      <w:webHidden w:val="0"/>
      <w:specVanish w:val="0"/>
    </w:rPr>
  </w:style>
  <w:style w:type="paragraph" w:styleId="Title">
    <w:name w:val="Title"/>
    <w:basedOn w:val="Normal"/>
    <w:next w:val="Normal"/>
    <w:link w:val="TitleChar"/>
    <w:uiPriority w:val="10"/>
    <w:qFormat/>
    <w:rsid w:val="00612500"/>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612500"/>
    <w:rPr>
      <w:smallCaps/>
      <w:sz w:val="48"/>
      <w:szCs w:val="48"/>
    </w:rPr>
  </w:style>
  <w:style w:type="character" w:customStyle="1" w:styleId="Heading4Char">
    <w:name w:val="Heading 4 Char"/>
    <w:basedOn w:val="DefaultParagraphFont"/>
    <w:link w:val="Heading4"/>
    <w:uiPriority w:val="9"/>
    <w:semiHidden/>
    <w:rsid w:val="00612500"/>
    <w:rPr>
      <w:smallCaps/>
      <w:spacing w:val="10"/>
      <w:sz w:val="22"/>
      <w:szCs w:val="22"/>
    </w:rPr>
  </w:style>
  <w:style w:type="character" w:customStyle="1" w:styleId="Heading5Char">
    <w:name w:val="Heading 5 Char"/>
    <w:basedOn w:val="DefaultParagraphFont"/>
    <w:link w:val="Heading5"/>
    <w:uiPriority w:val="9"/>
    <w:semiHidden/>
    <w:rsid w:val="00612500"/>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612500"/>
    <w:rPr>
      <w:smallCaps/>
      <w:color w:val="C0504D" w:themeColor="accent2"/>
      <w:spacing w:val="5"/>
      <w:sz w:val="22"/>
    </w:rPr>
  </w:style>
  <w:style w:type="character" w:customStyle="1" w:styleId="Heading7Char">
    <w:name w:val="Heading 7 Char"/>
    <w:basedOn w:val="DefaultParagraphFont"/>
    <w:link w:val="Heading7"/>
    <w:uiPriority w:val="9"/>
    <w:semiHidden/>
    <w:rsid w:val="00612500"/>
    <w:rPr>
      <w:b/>
      <w:smallCaps/>
      <w:color w:val="C0504D" w:themeColor="accent2"/>
      <w:spacing w:val="10"/>
    </w:rPr>
  </w:style>
  <w:style w:type="character" w:customStyle="1" w:styleId="Heading8Char">
    <w:name w:val="Heading 8 Char"/>
    <w:basedOn w:val="DefaultParagraphFont"/>
    <w:link w:val="Heading8"/>
    <w:uiPriority w:val="9"/>
    <w:semiHidden/>
    <w:rsid w:val="00612500"/>
    <w:rPr>
      <w:b/>
      <w:i/>
      <w:smallCaps/>
      <w:color w:val="943634" w:themeColor="accent2" w:themeShade="BF"/>
    </w:rPr>
  </w:style>
  <w:style w:type="character" w:customStyle="1" w:styleId="Heading9Char">
    <w:name w:val="Heading 9 Char"/>
    <w:basedOn w:val="DefaultParagraphFont"/>
    <w:link w:val="Heading9"/>
    <w:uiPriority w:val="9"/>
    <w:semiHidden/>
    <w:rsid w:val="00612500"/>
    <w:rPr>
      <w:b/>
      <w:i/>
      <w:smallCaps/>
      <w:color w:val="622423" w:themeColor="accent2" w:themeShade="7F"/>
    </w:rPr>
  </w:style>
  <w:style w:type="paragraph" w:styleId="Caption">
    <w:name w:val="caption"/>
    <w:basedOn w:val="Normal"/>
    <w:next w:val="Normal"/>
    <w:uiPriority w:val="35"/>
    <w:semiHidden/>
    <w:unhideWhenUsed/>
    <w:qFormat/>
    <w:rsid w:val="00612500"/>
    <w:rPr>
      <w:b/>
      <w:bCs/>
      <w:caps/>
      <w:sz w:val="16"/>
      <w:szCs w:val="18"/>
    </w:rPr>
  </w:style>
  <w:style w:type="paragraph" w:styleId="Subtitle">
    <w:name w:val="Subtitle"/>
    <w:basedOn w:val="Normal"/>
    <w:next w:val="Normal"/>
    <w:link w:val="SubtitleChar"/>
    <w:uiPriority w:val="11"/>
    <w:qFormat/>
    <w:rsid w:val="00612500"/>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612500"/>
    <w:rPr>
      <w:rFonts w:asciiTheme="majorHAnsi" w:eastAsiaTheme="majorEastAsia" w:hAnsiTheme="majorHAnsi" w:cstheme="majorBidi"/>
      <w:szCs w:val="22"/>
    </w:rPr>
  </w:style>
  <w:style w:type="character" w:styleId="Strong">
    <w:name w:val="Strong"/>
    <w:uiPriority w:val="22"/>
    <w:qFormat/>
    <w:rsid w:val="00612500"/>
    <w:rPr>
      <w:b/>
      <w:color w:val="C0504D" w:themeColor="accent2"/>
    </w:rPr>
  </w:style>
  <w:style w:type="character" w:customStyle="1" w:styleId="NoSpacingChar">
    <w:name w:val="No Spacing Char"/>
    <w:basedOn w:val="DefaultParagraphFont"/>
    <w:link w:val="NoSpacing"/>
    <w:uiPriority w:val="1"/>
    <w:rsid w:val="00612500"/>
  </w:style>
  <w:style w:type="paragraph" w:styleId="Quote">
    <w:name w:val="Quote"/>
    <w:basedOn w:val="Normal"/>
    <w:next w:val="Normal"/>
    <w:link w:val="QuoteChar"/>
    <w:uiPriority w:val="29"/>
    <w:qFormat/>
    <w:rsid w:val="00612500"/>
    <w:rPr>
      <w:i/>
    </w:rPr>
  </w:style>
  <w:style w:type="character" w:customStyle="1" w:styleId="QuoteChar">
    <w:name w:val="Quote Char"/>
    <w:basedOn w:val="DefaultParagraphFont"/>
    <w:link w:val="Quote"/>
    <w:uiPriority w:val="29"/>
    <w:rsid w:val="00612500"/>
    <w:rPr>
      <w:i/>
    </w:rPr>
  </w:style>
  <w:style w:type="paragraph" w:styleId="IntenseQuote">
    <w:name w:val="Intense Quote"/>
    <w:basedOn w:val="Normal"/>
    <w:next w:val="Normal"/>
    <w:link w:val="IntenseQuoteChar"/>
    <w:uiPriority w:val="30"/>
    <w:qFormat/>
    <w:rsid w:val="00612500"/>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612500"/>
    <w:rPr>
      <w:b/>
      <w:i/>
      <w:color w:val="FFFFFF" w:themeColor="background1"/>
      <w:shd w:val="clear" w:color="auto" w:fill="C0504D" w:themeFill="accent2"/>
    </w:rPr>
  </w:style>
  <w:style w:type="character" w:styleId="SubtleEmphasis">
    <w:name w:val="Subtle Emphasis"/>
    <w:uiPriority w:val="19"/>
    <w:qFormat/>
    <w:rsid w:val="00612500"/>
    <w:rPr>
      <w:i/>
    </w:rPr>
  </w:style>
  <w:style w:type="character" w:styleId="IntenseEmphasis">
    <w:name w:val="Intense Emphasis"/>
    <w:uiPriority w:val="21"/>
    <w:qFormat/>
    <w:rsid w:val="00612500"/>
    <w:rPr>
      <w:b/>
      <w:i/>
      <w:color w:val="C0504D" w:themeColor="accent2"/>
      <w:spacing w:val="10"/>
    </w:rPr>
  </w:style>
  <w:style w:type="character" w:styleId="SubtleReference">
    <w:name w:val="Subtle Reference"/>
    <w:uiPriority w:val="31"/>
    <w:qFormat/>
    <w:rsid w:val="00612500"/>
    <w:rPr>
      <w:b/>
    </w:rPr>
  </w:style>
  <w:style w:type="character" w:styleId="IntenseReference">
    <w:name w:val="Intense Reference"/>
    <w:uiPriority w:val="32"/>
    <w:qFormat/>
    <w:rsid w:val="00612500"/>
    <w:rPr>
      <w:b/>
      <w:bCs/>
      <w:smallCaps/>
      <w:spacing w:val="5"/>
      <w:sz w:val="22"/>
      <w:szCs w:val="22"/>
      <w:u w:val="single"/>
    </w:rPr>
  </w:style>
  <w:style w:type="character" w:styleId="BookTitle">
    <w:name w:val="Book Title"/>
    <w:uiPriority w:val="33"/>
    <w:qFormat/>
    <w:rsid w:val="00612500"/>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612500"/>
    <w:pPr>
      <w:outlineLvl w:val="9"/>
    </w:pPr>
    <w:rPr>
      <w:lang w:bidi="en-US"/>
    </w:rPr>
  </w:style>
  <w:style w:type="table" w:styleId="MediumShading1-Accent2">
    <w:name w:val="Medium Shading 1 Accent 2"/>
    <w:basedOn w:val="TableNormal"/>
    <w:uiPriority w:val="63"/>
    <w:rsid w:val="00F0013D"/>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Shading-Accent2">
    <w:name w:val="Light Shading Accent 2"/>
    <w:basedOn w:val="TableNormal"/>
    <w:uiPriority w:val="60"/>
    <w:rsid w:val="001F42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divs>
    <w:div w:id="272832761">
      <w:bodyDiv w:val="1"/>
      <w:marLeft w:val="0"/>
      <w:marRight w:val="0"/>
      <w:marTop w:val="0"/>
      <w:marBottom w:val="0"/>
      <w:divBdr>
        <w:top w:val="none" w:sz="0" w:space="0" w:color="auto"/>
        <w:left w:val="none" w:sz="0" w:space="0" w:color="auto"/>
        <w:bottom w:val="none" w:sz="0" w:space="0" w:color="auto"/>
        <w:right w:val="none" w:sz="0" w:space="0" w:color="auto"/>
      </w:divBdr>
      <w:divsChild>
        <w:div w:id="552082741">
          <w:marLeft w:val="0"/>
          <w:marRight w:val="0"/>
          <w:marTop w:val="0"/>
          <w:marBottom w:val="0"/>
          <w:divBdr>
            <w:top w:val="none" w:sz="0" w:space="0" w:color="auto"/>
            <w:left w:val="none" w:sz="0" w:space="0" w:color="auto"/>
            <w:bottom w:val="none" w:sz="0" w:space="0" w:color="auto"/>
            <w:right w:val="none" w:sz="0" w:space="0" w:color="auto"/>
          </w:divBdr>
          <w:divsChild>
            <w:div w:id="149369483">
              <w:marLeft w:val="0"/>
              <w:marRight w:val="0"/>
              <w:marTop w:val="0"/>
              <w:marBottom w:val="0"/>
              <w:divBdr>
                <w:top w:val="none" w:sz="0" w:space="0" w:color="auto"/>
                <w:left w:val="none" w:sz="0" w:space="0" w:color="auto"/>
                <w:bottom w:val="none" w:sz="0" w:space="0" w:color="auto"/>
                <w:right w:val="none" w:sz="0" w:space="0" w:color="auto"/>
              </w:divBdr>
              <w:divsChild>
                <w:div w:id="939873566">
                  <w:marLeft w:val="0"/>
                  <w:marRight w:val="0"/>
                  <w:marTop w:val="0"/>
                  <w:marBottom w:val="0"/>
                  <w:divBdr>
                    <w:top w:val="none" w:sz="0" w:space="0" w:color="auto"/>
                    <w:left w:val="none" w:sz="0" w:space="0" w:color="auto"/>
                    <w:bottom w:val="none" w:sz="0" w:space="0" w:color="auto"/>
                    <w:right w:val="none" w:sz="0" w:space="0" w:color="auto"/>
                  </w:divBdr>
                  <w:divsChild>
                    <w:div w:id="776801289">
                      <w:marLeft w:val="0"/>
                      <w:marRight w:val="0"/>
                      <w:marTop w:val="0"/>
                      <w:marBottom w:val="0"/>
                      <w:divBdr>
                        <w:top w:val="none" w:sz="0" w:space="0" w:color="auto"/>
                        <w:left w:val="none" w:sz="0" w:space="0" w:color="auto"/>
                        <w:bottom w:val="none" w:sz="0" w:space="0" w:color="auto"/>
                        <w:right w:val="none" w:sz="0" w:space="0" w:color="auto"/>
                      </w:divBdr>
                      <w:divsChild>
                        <w:div w:id="1026521318">
                          <w:marLeft w:val="0"/>
                          <w:marRight w:val="0"/>
                          <w:marTop w:val="0"/>
                          <w:marBottom w:val="0"/>
                          <w:divBdr>
                            <w:top w:val="none" w:sz="0" w:space="0" w:color="auto"/>
                            <w:left w:val="none" w:sz="0" w:space="0" w:color="auto"/>
                            <w:bottom w:val="none" w:sz="0" w:space="0" w:color="auto"/>
                            <w:right w:val="none" w:sz="0" w:space="0" w:color="auto"/>
                          </w:divBdr>
                          <w:divsChild>
                            <w:div w:id="6931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259779">
      <w:bodyDiv w:val="1"/>
      <w:marLeft w:val="0"/>
      <w:marRight w:val="0"/>
      <w:marTop w:val="0"/>
      <w:marBottom w:val="0"/>
      <w:divBdr>
        <w:top w:val="none" w:sz="0" w:space="0" w:color="auto"/>
        <w:left w:val="none" w:sz="0" w:space="0" w:color="auto"/>
        <w:bottom w:val="none" w:sz="0" w:space="0" w:color="auto"/>
        <w:right w:val="none" w:sz="0" w:space="0" w:color="auto"/>
      </w:divBdr>
      <w:divsChild>
        <w:div w:id="2015645258">
          <w:marLeft w:val="0"/>
          <w:marRight w:val="0"/>
          <w:marTop w:val="0"/>
          <w:marBottom w:val="0"/>
          <w:divBdr>
            <w:top w:val="none" w:sz="0" w:space="0" w:color="auto"/>
            <w:left w:val="none" w:sz="0" w:space="0" w:color="auto"/>
            <w:bottom w:val="none" w:sz="0" w:space="0" w:color="auto"/>
            <w:right w:val="none" w:sz="0" w:space="0" w:color="auto"/>
          </w:divBdr>
          <w:divsChild>
            <w:div w:id="410583350">
              <w:marLeft w:val="0"/>
              <w:marRight w:val="0"/>
              <w:marTop w:val="0"/>
              <w:marBottom w:val="0"/>
              <w:divBdr>
                <w:top w:val="none" w:sz="0" w:space="0" w:color="auto"/>
                <w:left w:val="none" w:sz="0" w:space="0" w:color="auto"/>
                <w:bottom w:val="none" w:sz="0" w:space="0" w:color="auto"/>
                <w:right w:val="none" w:sz="0" w:space="0" w:color="auto"/>
              </w:divBdr>
              <w:divsChild>
                <w:div w:id="108692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861047">
      <w:bodyDiv w:val="1"/>
      <w:marLeft w:val="0"/>
      <w:marRight w:val="0"/>
      <w:marTop w:val="0"/>
      <w:marBottom w:val="0"/>
      <w:divBdr>
        <w:top w:val="none" w:sz="0" w:space="0" w:color="auto"/>
        <w:left w:val="none" w:sz="0" w:space="0" w:color="auto"/>
        <w:bottom w:val="none" w:sz="0" w:space="0" w:color="auto"/>
        <w:right w:val="none" w:sz="0" w:space="0" w:color="auto"/>
      </w:divBdr>
    </w:div>
    <w:div w:id="523977702">
      <w:bodyDiv w:val="1"/>
      <w:marLeft w:val="0"/>
      <w:marRight w:val="0"/>
      <w:marTop w:val="0"/>
      <w:marBottom w:val="0"/>
      <w:divBdr>
        <w:top w:val="none" w:sz="0" w:space="0" w:color="auto"/>
        <w:left w:val="none" w:sz="0" w:space="0" w:color="auto"/>
        <w:bottom w:val="none" w:sz="0" w:space="0" w:color="auto"/>
        <w:right w:val="none" w:sz="0" w:space="0" w:color="auto"/>
      </w:divBdr>
    </w:div>
    <w:div w:id="813109233">
      <w:bodyDiv w:val="1"/>
      <w:marLeft w:val="0"/>
      <w:marRight w:val="0"/>
      <w:marTop w:val="0"/>
      <w:marBottom w:val="0"/>
      <w:divBdr>
        <w:top w:val="none" w:sz="0" w:space="0" w:color="auto"/>
        <w:left w:val="none" w:sz="0" w:space="0" w:color="auto"/>
        <w:bottom w:val="none" w:sz="0" w:space="0" w:color="auto"/>
        <w:right w:val="none" w:sz="0" w:space="0" w:color="auto"/>
      </w:divBdr>
    </w:div>
    <w:div w:id="1117526294">
      <w:bodyDiv w:val="1"/>
      <w:marLeft w:val="0"/>
      <w:marRight w:val="0"/>
      <w:marTop w:val="0"/>
      <w:marBottom w:val="0"/>
      <w:divBdr>
        <w:top w:val="none" w:sz="0" w:space="0" w:color="auto"/>
        <w:left w:val="none" w:sz="0" w:space="0" w:color="auto"/>
        <w:bottom w:val="none" w:sz="0" w:space="0" w:color="auto"/>
        <w:right w:val="none" w:sz="0" w:space="0" w:color="auto"/>
      </w:divBdr>
      <w:divsChild>
        <w:div w:id="495804960">
          <w:marLeft w:val="0"/>
          <w:marRight w:val="0"/>
          <w:marTop w:val="0"/>
          <w:marBottom w:val="0"/>
          <w:divBdr>
            <w:top w:val="none" w:sz="0" w:space="0" w:color="auto"/>
            <w:left w:val="none" w:sz="0" w:space="0" w:color="auto"/>
            <w:bottom w:val="none" w:sz="0" w:space="0" w:color="auto"/>
            <w:right w:val="none" w:sz="0" w:space="0" w:color="auto"/>
          </w:divBdr>
        </w:div>
        <w:div w:id="2009282469">
          <w:marLeft w:val="0"/>
          <w:marRight w:val="0"/>
          <w:marTop w:val="0"/>
          <w:marBottom w:val="0"/>
          <w:divBdr>
            <w:top w:val="none" w:sz="0" w:space="0" w:color="auto"/>
            <w:left w:val="none" w:sz="0" w:space="0" w:color="auto"/>
            <w:bottom w:val="none" w:sz="0" w:space="0" w:color="auto"/>
            <w:right w:val="none" w:sz="0" w:space="0" w:color="auto"/>
          </w:divBdr>
        </w:div>
        <w:div w:id="1583686468">
          <w:marLeft w:val="0"/>
          <w:marRight w:val="0"/>
          <w:marTop w:val="0"/>
          <w:marBottom w:val="0"/>
          <w:divBdr>
            <w:top w:val="none" w:sz="0" w:space="0" w:color="auto"/>
            <w:left w:val="none" w:sz="0" w:space="0" w:color="auto"/>
            <w:bottom w:val="none" w:sz="0" w:space="0" w:color="auto"/>
            <w:right w:val="none" w:sz="0" w:space="0" w:color="auto"/>
          </w:divBdr>
        </w:div>
        <w:div w:id="1878393586">
          <w:marLeft w:val="0"/>
          <w:marRight w:val="0"/>
          <w:marTop w:val="0"/>
          <w:marBottom w:val="0"/>
          <w:divBdr>
            <w:top w:val="none" w:sz="0" w:space="0" w:color="auto"/>
            <w:left w:val="none" w:sz="0" w:space="0" w:color="auto"/>
            <w:bottom w:val="none" w:sz="0" w:space="0" w:color="auto"/>
            <w:right w:val="none" w:sz="0" w:space="0" w:color="auto"/>
          </w:divBdr>
        </w:div>
        <w:div w:id="2005232011">
          <w:marLeft w:val="0"/>
          <w:marRight w:val="0"/>
          <w:marTop w:val="0"/>
          <w:marBottom w:val="0"/>
          <w:divBdr>
            <w:top w:val="none" w:sz="0" w:space="0" w:color="auto"/>
            <w:left w:val="none" w:sz="0" w:space="0" w:color="auto"/>
            <w:bottom w:val="none" w:sz="0" w:space="0" w:color="auto"/>
            <w:right w:val="none" w:sz="0" w:space="0" w:color="auto"/>
          </w:divBdr>
        </w:div>
        <w:div w:id="288240570">
          <w:marLeft w:val="0"/>
          <w:marRight w:val="0"/>
          <w:marTop w:val="0"/>
          <w:marBottom w:val="0"/>
          <w:divBdr>
            <w:top w:val="none" w:sz="0" w:space="0" w:color="auto"/>
            <w:left w:val="none" w:sz="0" w:space="0" w:color="auto"/>
            <w:bottom w:val="none" w:sz="0" w:space="0" w:color="auto"/>
            <w:right w:val="none" w:sz="0" w:space="0" w:color="auto"/>
          </w:divBdr>
        </w:div>
        <w:div w:id="1922055784">
          <w:marLeft w:val="0"/>
          <w:marRight w:val="0"/>
          <w:marTop w:val="0"/>
          <w:marBottom w:val="0"/>
          <w:divBdr>
            <w:top w:val="none" w:sz="0" w:space="0" w:color="auto"/>
            <w:left w:val="none" w:sz="0" w:space="0" w:color="auto"/>
            <w:bottom w:val="none" w:sz="0" w:space="0" w:color="auto"/>
            <w:right w:val="none" w:sz="0" w:space="0" w:color="auto"/>
          </w:divBdr>
        </w:div>
        <w:div w:id="860823646">
          <w:marLeft w:val="0"/>
          <w:marRight w:val="0"/>
          <w:marTop w:val="0"/>
          <w:marBottom w:val="0"/>
          <w:divBdr>
            <w:top w:val="none" w:sz="0" w:space="0" w:color="auto"/>
            <w:left w:val="none" w:sz="0" w:space="0" w:color="auto"/>
            <w:bottom w:val="none" w:sz="0" w:space="0" w:color="auto"/>
            <w:right w:val="none" w:sz="0" w:space="0" w:color="auto"/>
          </w:divBdr>
        </w:div>
        <w:div w:id="1155218772">
          <w:marLeft w:val="0"/>
          <w:marRight w:val="0"/>
          <w:marTop w:val="0"/>
          <w:marBottom w:val="0"/>
          <w:divBdr>
            <w:top w:val="none" w:sz="0" w:space="0" w:color="auto"/>
            <w:left w:val="none" w:sz="0" w:space="0" w:color="auto"/>
            <w:bottom w:val="none" w:sz="0" w:space="0" w:color="auto"/>
            <w:right w:val="none" w:sz="0" w:space="0" w:color="auto"/>
          </w:divBdr>
        </w:div>
        <w:div w:id="1658414077">
          <w:marLeft w:val="0"/>
          <w:marRight w:val="0"/>
          <w:marTop w:val="0"/>
          <w:marBottom w:val="0"/>
          <w:divBdr>
            <w:top w:val="none" w:sz="0" w:space="0" w:color="auto"/>
            <w:left w:val="none" w:sz="0" w:space="0" w:color="auto"/>
            <w:bottom w:val="none" w:sz="0" w:space="0" w:color="auto"/>
            <w:right w:val="none" w:sz="0" w:space="0" w:color="auto"/>
          </w:divBdr>
        </w:div>
        <w:div w:id="2048544">
          <w:marLeft w:val="0"/>
          <w:marRight w:val="0"/>
          <w:marTop w:val="0"/>
          <w:marBottom w:val="0"/>
          <w:divBdr>
            <w:top w:val="none" w:sz="0" w:space="0" w:color="auto"/>
            <w:left w:val="none" w:sz="0" w:space="0" w:color="auto"/>
            <w:bottom w:val="none" w:sz="0" w:space="0" w:color="auto"/>
            <w:right w:val="none" w:sz="0" w:space="0" w:color="auto"/>
          </w:divBdr>
        </w:div>
        <w:div w:id="1362127931">
          <w:marLeft w:val="0"/>
          <w:marRight w:val="0"/>
          <w:marTop w:val="0"/>
          <w:marBottom w:val="0"/>
          <w:divBdr>
            <w:top w:val="none" w:sz="0" w:space="0" w:color="auto"/>
            <w:left w:val="none" w:sz="0" w:space="0" w:color="auto"/>
            <w:bottom w:val="none" w:sz="0" w:space="0" w:color="auto"/>
            <w:right w:val="none" w:sz="0" w:space="0" w:color="auto"/>
          </w:divBdr>
        </w:div>
        <w:div w:id="752550107">
          <w:marLeft w:val="0"/>
          <w:marRight w:val="0"/>
          <w:marTop w:val="0"/>
          <w:marBottom w:val="0"/>
          <w:divBdr>
            <w:top w:val="none" w:sz="0" w:space="0" w:color="auto"/>
            <w:left w:val="none" w:sz="0" w:space="0" w:color="auto"/>
            <w:bottom w:val="none" w:sz="0" w:space="0" w:color="auto"/>
            <w:right w:val="none" w:sz="0" w:space="0" w:color="auto"/>
          </w:divBdr>
        </w:div>
        <w:div w:id="1186559149">
          <w:marLeft w:val="0"/>
          <w:marRight w:val="0"/>
          <w:marTop w:val="0"/>
          <w:marBottom w:val="0"/>
          <w:divBdr>
            <w:top w:val="none" w:sz="0" w:space="0" w:color="auto"/>
            <w:left w:val="none" w:sz="0" w:space="0" w:color="auto"/>
            <w:bottom w:val="none" w:sz="0" w:space="0" w:color="auto"/>
            <w:right w:val="none" w:sz="0" w:space="0" w:color="auto"/>
          </w:divBdr>
        </w:div>
        <w:div w:id="1153525258">
          <w:marLeft w:val="0"/>
          <w:marRight w:val="0"/>
          <w:marTop w:val="0"/>
          <w:marBottom w:val="0"/>
          <w:divBdr>
            <w:top w:val="none" w:sz="0" w:space="0" w:color="auto"/>
            <w:left w:val="none" w:sz="0" w:space="0" w:color="auto"/>
            <w:bottom w:val="none" w:sz="0" w:space="0" w:color="auto"/>
            <w:right w:val="none" w:sz="0" w:space="0" w:color="auto"/>
          </w:divBdr>
        </w:div>
      </w:divsChild>
    </w:div>
    <w:div w:id="1194808253">
      <w:bodyDiv w:val="1"/>
      <w:marLeft w:val="0"/>
      <w:marRight w:val="0"/>
      <w:marTop w:val="0"/>
      <w:marBottom w:val="0"/>
      <w:divBdr>
        <w:top w:val="none" w:sz="0" w:space="0" w:color="auto"/>
        <w:left w:val="none" w:sz="0" w:space="0" w:color="auto"/>
        <w:bottom w:val="none" w:sz="0" w:space="0" w:color="auto"/>
        <w:right w:val="none" w:sz="0" w:space="0" w:color="auto"/>
      </w:divBdr>
      <w:divsChild>
        <w:div w:id="1557157282">
          <w:marLeft w:val="0"/>
          <w:marRight w:val="0"/>
          <w:marTop w:val="0"/>
          <w:marBottom w:val="0"/>
          <w:divBdr>
            <w:top w:val="none" w:sz="0" w:space="0" w:color="auto"/>
            <w:left w:val="none" w:sz="0" w:space="0" w:color="auto"/>
            <w:bottom w:val="none" w:sz="0" w:space="0" w:color="auto"/>
            <w:right w:val="none" w:sz="0" w:space="0" w:color="auto"/>
          </w:divBdr>
        </w:div>
        <w:div w:id="1084451694">
          <w:marLeft w:val="0"/>
          <w:marRight w:val="0"/>
          <w:marTop w:val="0"/>
          <w:marBottom w:val="0"/>
          <w:divBdr>
            <w:top w:val="none" w:sz="0" w:space="0" w:color="auto"/>
            <w:left w:val="none" w:sz="0" w:space="0" w:color="auto"/>
            <w:bottom w:val="none" w:sz="0" w:space="0" w:color="auto"/>
            <w:right w:val="none" w:sz="0" w:space="0" w:color="auto"/>
          </w:divBdr>
        </w:div>
        <w:div w:id="143282825">
          <w:marLeft w:val="0"/>
          <w:marRight w:val="0"/>
          <w:marTop w:val="0"/>
          <w:marBottom w:val="0"/>
          <w:divBdr>
            <w:top w:val="none" w:sz="0" w:space="0" w:color="auto"/>
            <w:left w:val="none" w:sz="0" w:space="0" w:color="auto"/>
            <w:bottom w:val="none" w:sz="0" w:space="0" w:color="auto"/>
            <w:right w:val="none" w:sz="0" w:space="0" w:color="auto"/>
          </w:divBdr>
        </w:div>
        <w:div w:id="1723676836">
          <w:marLeft w:val="0"/>
          <w:marRight w:val="0"/>
          <w:marTop w:val="0"/>
          <w:marBottom w:val="0"/>
          <w:divBdr>
            <w:top w:val="none" w:sz="0" w:space="0" w:color="auto"/>
            <w:left w:val="none" w:sz="0" w:space="0" w:color="auto"/>
            <w:bottom w:val="none" w:sz="0" w:space="0" w:color="auto"/>
            <w:right w:val="none" w:sz="0" w:space="0" w:color="auto"/>
          </w:divBdr>
        </w:div>
        <w:div w:id="189296848">
          <w:marLeft w:val="0"/>
          <w:marRight w:val="0"/>
          <w:marTop w:val="0"/>
          <w:marBottom w:val="0"/>
          <w:divBdr>
            <w:top w:val="none" w:sz="0" w:space="0" w:color="auto"/>
            <w:left w:val="none" w:sz="0" w:space="0" w:color="auto"/>
            <w:bottom w:val="none" w:sz="0" w:space="0" w:color="auto"/>
            <w:right w:val="none" w:sz="0" w:space="0" w:color="auto"/>
          </w:divBdr>
        </w:div>
        <w:div w:id="1996568625">
          <w:marLeft w:val="0"/>
          <w:marRight w:val="0"/>
          <w:marTop w:val="0"/>
          <w:marBottom w:val="0"/>
          <w:divBdr>
            <w:top w:val="none" w:sz="0" w:space="0" w:color="auto"/>
            <w:left w:val="none" w:sz="0" w:space="0" w:color="auto"/>
            <w:bottom w:val="none" w:sz="0" w:space="0" w:color="auto"/>
            <w:right w:val="none" w:sz="0" w:space="0" w:color="auto"/>
          </w:divBdr>
        </w:div>
        <w:div w:id="1062020068">
          <w:marLeft w:val="0"/>
          <w:marRight w:val="0"/>
          <w:marTop w:val="0"/>
          <w:marBottom w:val="0"/>
          <w:divBdr>
            <w:top w:val="none" w:sz="0" w:space="0" w:color="auto"/>
            <w:left w:val="none" w:sz="0" w:space="0" w:color="auto"/>
            <w:bottom w:val="none" w:sz="0" w:space="0" w:color="auto"/>
            <w:right w:val="none" w:sz="0" w:space="0" w:color="auto"/>
          </w:divBdr>
        </w:div>
        <w:div w:id="29501434">
          <w:marLeft w:val="0"/>
          <w:marRight w:val="0"/>
          <w:marTop w:val="0"/>
          <w:marBottom w:val="0"/>
          <w:divBdr>
            <w:top w:val="none" w:sz="0" w:space="0" w:color="auto"/>
            <w:left w:val="none" w:sz="0" w:space="0" w:color="auto"/>
            <w:bottom w:val="none" w:sz="0" w:space="0" w:color="auto"/>
            <w:right w:val="none" w:sz="0" w:space="0" w:color="auto"/>
          </w:divBdr>
        </w:div>
      </w:divsChild>
    </w:div>
    <w:div w:id="1227229593">
      <w:bodyDiv w:val="1"/>
      <w:marLeft w:val="0"/>
      <w:marRight w:val="0"/>
      <w:marTop w:val="0"/>
      <w:marBottom w:val="0"/>
      <w:divBdr>
        <w:top w:val="none" w:sz="0" w:space="0" w:color="auto"/>
        <w:left w:val="none" w:sz="0" w:space="0" w:color="auto"/>
        <w:bottom w:val="none" w:sz="0" w:space="0" w:color="auto"/>
        <w:right w:val="none" w:sz="0" w:space="0" w:color="auto"/>
      </w:divBdr>
    </w:div>
    <w:div w:id="1235817666">
      <w:bodyDiv w:val="1"/>
      <w:marLeft w:val="0"/>
      <w:marRight w:val="0"/>
      <w:marTop w:val="0"/>
      <w:marBottom w:val="0"/>
      <w:divBdr>
        <w:top w:val="none" w:sz="0" w:space="0" w:color="auto"/>
        <w:left w:val="none" w:sz="0" w:space="0" w:color="auto"/>
        <w:bottom w:val="none" w:sz="0" w:space="0" w:color="auto"/>
        <w:right w:val="none" w:sz="0" w:space="0" w:color="auto"/>
      </w:divBdr>
    </w:div>
    <w:div w:id="1282496001">
      <w:bodyDiv w:val="1"/>
      <w:marLeft w:val="0"/>
      <w:marRight w:val="0"/>
      <w:marTop w:val="0"/>
      <w:marBottom w:val="0"/>
      <w:divBdr>
        <w:top w:val="none" w:sz="0" w:space="0" w:color="auto"/>
        <w:left w:val="none" w:sz="0" w:space="0" w:color="auto"/>
        <w:bottom w:val="none" w:sz="0" w:space="0" w:color="auto"/>
        <w:right w:val="none" w:sz="0" w:space="0" w:color="auto"/>
      </w:divBdr>
    </w:div>
    <w:div w:id="1546285625">
      <w:bodyDiv w:val="1"/>
      <w:marLeft w:val="0"/>
      <w:marRight w:val="0"/>
      <w:marTop w:val="0"/>
      <w:marBottom w:val="0"/>
      <w:divBdr>
        <w:top w:val="none" w:sz="0" w:space="0" w:color="auto"/>
        <w:left w:val="none" w:sz="0" w:space="0" w:color="auto"/>
        <w:bottom w:val="none" w:sz="0" w:space="0" w:color="auto"/>
        <w:right w:val="none" w:sz="0" w:space="0" w:color="auto"/>
      </w:divBdr>
    </w:div>
    <w:div w:id="1822770558">
      <w:bodyDiv w:val="1"/>
      <w:marLeft w:val="0"/>
      <w:marRight w:val="0"/>
      <w:marTop w:val="0"/>
      <w:marBottom w:val="0"/>
      <w:divBdr>
        <w:top w:val="none" w:sz="0" w:space="0" w:color="auto"/>
        <w:left w:val="none" w:sz="0" w:space="0" w:color="auto"/>
        <w:bottom w:val="none" w:sz="0" w:space="0" w:color="auto"/>
        <w:right w:val="none" w:sz="0" w:space="0" w:color="auto"/>
      </w:divBdr>
    </w:div>
    <w:div w:id="1970044649">
      <w:bodyDiv w:val="1"/>
      <w:marLeft w:val="0"/>
      <w:marRight w:val="0"/>
      <w:marTop w:val="0"/>
      <w:marBottom w:val="0"/>
      <w:divBdr>
        <w:top w:val="none" w:sz="0" w:space="0" w:color="auto"/>
        <w:left w:val="none" w:sz="0" w:space="0" w:color="auto"/>
        <w:bottom w:val="none" w:sz="0" w:space="0" w:color="auto"/>
        <w:right w:val="none" w:sz="0" w:space="0" w:color="auto"/>
      </w:divBdr>
    </w:div>
    <w:div w:id="206487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urope2020/documents/related-document-type/index_en.htm"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kmak.av.tr/pdf/Global%20Renewable%20Energy%20Guide%202012.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ec.europa.eu/europe2020/pdf/nd/nrp2013_belgium_en.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clima/policies/g-gas/progress/docs/be_2013_en.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translate.google.be/translate?hl=en&amp;sl=fr&amp;tl=en&amp;u=http%3A%2F%2Fwww.etaamb.be%2Ffr%2Farrete-royal-du-26-novembre-2011_n2011024352.html&amp;anno=2" TargetMode="External"/><Relationship Id="rId3" Type="http://schemas.openxmlformats.org/officeDocument/2006/relationships/hyperlink" Target="http://wallex.wallonie.be/index.php?doc=9075" TargetMode="External"/><Relationship Id="rId7" Type="http://schemas.openxmlformats.org/officeDocument/2006/relationships/hyperlink" Target="http://economie.fgov.be/fr/consommateurs/Energie/Energies_renouvelables/Biocarburants/" TargetMode="External"/><Relationship Id="rId12" Type="http://schemas.openxmlformats.org/officeDocument/2006/relationships/hyperlink" Target="http://faolex.fao.org/cgi-bin/faolex.exe?rec_id=021203&amp;database=faolex&amp;search_type=link&amp;table=result&amp;lang=eng&amp;format_name=@ERALL" TargetMode="External"/><Relationship Id="rId2" Type="http://schemas.openxmlformats.org/officeDocument/2006/relationships/hyperlink" Target="http://www.energiesparen.be/node/3075" TargetMode="External"/><Relationship Id="rId1" Type="http://schemas.openxmlformats.org/officeDocument/2006/relationships/hyperlink" Target="http://airclimat.wallonie.be/spip/Plan-Air-Climat.html" TargetMode="External"/><Relationship Id="rId6" Type="http://schemas.openxmlformats.org/officeDocument/2006/relationships/hyperlink" Target="http://economie.fgov.be/fr/modules/regulation/arrete_royal/20061122_ar_completant_ar_20050304_relatif_biocarburants.jsp" TargetMode="External"/><Relationship Id="rId11" Type="http://schemas.openxmlformats.org/officeDocument/2006/relationships/hyperlink" Target="http://faolex.fao.org/cgi-bin/faolex.exe?rec_id=066663&amp;database=faolex&amp;search_type=link&amp;table=result&amp;lang=eng&amp;format_name=@ERALL" TargetMode="External"/><Relationship Id="rId5" Type="http://schemas.openxmlformats.org/officeDocument/2006/relationships/hyperlink" Target="http://www.energiesparen.be/node/3075" TargetMode="External"/><Relationship Id="rId10" Type="http://schemas.openxmlformats.org/officeDocument/2006/relationships/hyperlink" Target="http://faolex.fao.org/cgi-bin/faolex.exe?rec_id=066666&amp;database=faolex&amp;search_type=link&amp;table=result&amp;lang=eng&amp;format_name=@ERALL" TargetMode="External"/><Relationship Id="rId4" Type="http://schemas.openxmlformats.org/officeDocument/2006/relationships/hyperlink" Target="http://www.agentschapondernemen.be/download/file/fid/23995" TargetMode="External"/><Relationship Id="rId9" Type="http://schemas.openxmlformats.org/officeDocument/2006/relationships/hyperlink" Target="http://faolex.fao.org/cgi-bin/faolex.exe?rec_id=011037&amp;database=faolex&amp;search_type=link&amp;table=result&amp;lang=eng&amp;format_name=@ER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3C1EFBF4806B4C8FC2E389EFCC5CF3" ma:contentTypeVersion="0" ma:contentTypeDescription="Create a new document." ma:contentTypeScope="" ma:versionID="a5362f52b6d8fbb43449a579effcc57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B8AE7-BFDA-44BA-B790-47A89DA1C6AA}">
  <ds:schemaRefs>
    <ds:schemaRef ds:uri="http://schemas.microsoft.com/office/2006/metadata/properties"/>
  </ds:schemaRefs>
</ds:datastoreItem>
</file>

<file path=customXml/itemProps2.xml><?xml version="1.0" encoding="utf-8"?>
<ds:datastoreItem xmlns:ds="http://schemas.openxmlformats.org/officeDocument/2006/customXml" ds:itemID="{51B89B7B-FB68-4857-963C-F09514AD8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4B2635C-A638-4EB2-9F86-E1ABF28EB9F5}">
  <ds:schemaRefs>
    <ds:schemaRef ds:uri="http://schemas.microsoft.com/sharepoint/v3/contenttype/forms"/>
  </ds:schemaRefs>
</ds:datastoreItem>
</file>

<file path=customXml/itemProps4.xml><?xml version="1.0" encoding="utf-8"?>
<ds:datastoreItem xmlns:ds="http://schemas.openxmlformats.org/officeDocument/2006/customXml" ds:itemID="{F2728AE8-F3E4-41E3-B238-BB42F6D12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2688</Words>
  <Characters>15323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Smith</dc:creator>
  <cp:lastModifiedBy>Andrea Salimbeni</cp:lastModifiedBy>
  <cp:revision>2</cp:revision>
  <dcterms:created xsi:type="dcterms:W3CDTF">2015-09-18T11:08:00Z</dcterms:created>
  <dcterms:modified xsi:type="dcterms:W3CDTF">2015-09-18T11:08:00Z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0x010100F73C1EFBF4806B4C8FC2E389EFCC5CF3</vt:lpwstr>
  </property>
</Properties>
</file>