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430" w:rsidRPr="00215827" w:rsidRDefault="00CB3430" w:rsidP="00B209A2">
      <w:pPr>
        <w:pStyle w:val="Titolo"/>
        <w:pBdr>
          <w:top w:val="single" w:sz="12" w:space="0" w:color="C0504D" w:themeColor="accent2"/>
        </w:pBdr>
      </w:pPr>
      <w:r w:rsidRPr="00215827">
        <w:t xml:space="preserve">EnAlgae policy landscape analysis for </w:t>
      </w:r>
    </w:p>
    <w:p w:rsidR="00CB3430" w:rsidRPr="00215827" w:rsidRDefault="00CB3430" w:rsidP="00B209A2">
      <w:pPr>
        <w:pStyle w:val="Titolo"/>
        <w:pBdr>
          <w:top w:val="single" w:sz="12" w:space="0" w:color="C0504D" w:themeColor="accent2"/>
        </w:pBdr>
      </w:pPr>
      <w:r w:rsidRPr="00215827">
        <w:t>France</w:t>
      </w:r>
    </w:p>
    <w:p w:rsidR="00CD340E" w:rsidRPr="00215827" w:rsidRDefault="00CD340E" w:rsidP="00CD340E">
      <w:r w:rsidRPr="00215827">
        <w:t xml:space="preserve">Landscape analysis of national and regional policies of </w:t>
      </w:r>
      <w:r w:rsidR="00235D6E" w:rsidRPr="00215827">
        <w:t xml:space="preserve">France </w:t>
      </w:r>
      <w:r w:rsidRPr="00215827">
        <w:t xml:space="preserve">that could have an impact in algae cultivation revealed a number of strategies, mandates, and economic incentives on climate change, bioenergy, and water. Although French aquaculture industry is an old and established sector among the EU countries, production of Energetic Algae (or algae for production of fuels and energy) is a new concept in France, and existing bioenergy and environmental strategies were not found to be actively supportive to energetic algae. The only exception to this is a regional policy </w:t>
      </w:r>
      <w:r w:rsidR="00235D6E" w:rsidRPr="00215827">
        <w:t xml:space="preserve">for </w:t>
      </w:r>
      <w:r w:rsidRPr="00215827">
        <w:t xml:space="preserve">Bretagne that </w:t>
      </w:r>
      <w:r w:rsidR="00235D6E" w:rsidRPr="00215827">
        <w:t>aimed at mitigation of</w:t>
      </w:r>
      <w:r w:rsidRPr="00215827">
        <w:t xml:space="preserve"> environmental nuisance arising from excess </w:t>
      </w:r>
      <w:r w:rsidR="00235D6E" w:rsidRPr="00215827">
        <w:t xml:space="preserve">wild </w:t>
      </w:r>
      <w:r w:rsidRPr="00215827">
        <w:t>green algae production</w:t>
      </w:r>
      <w:r w:rsidR="00235D6E" w:rsidRPr="00215827">
        <w:t xml:space="preserve"> in Bretagne coastline</w:t>
      </w:r>
      <w:r w:rsidRPr="00215827">
        <w:t>. The policy assists regional development and construction</w:t>
      </w:r>
      <w:r w:rsidR="00235D6E" w:rsidRPr="00215827">
        <w:t xml:space="preserve"> of AD projects for green algae</w:t>
      </w:r>
      <w:r w:rsidRPr="00215827">
        <w:t>.</w:t>
      </w:r>
      <w:r w:rsidR="00162A6C">
        <w:t>To</w:t>
      </w:r>
      <w:r w:rsidR="00162A6C" w:rsidRPr="00EA44A4">
        <w:t xml:space="preserve"> identify policies that </w:t>
      </w:r>
      <w:r w:rsidR="00162A6C">
        <w:t>could affect</w:t>
      </w:r>
      <w:r w:rsidR="003013D3">
        <w:t xml:space="preserve"> energetic algae, research</w:t>
      </w:r>
      <w:r w:rsidR="00162A6C">
        <w:t xml:space="preserve"> was focussed on</w:t>
      </w:r>
      <w:r w:rsidR="00162A6C" w:rsidRPr="00EA44A4">
        <w:t xml:space="preserve"> generic biomass, bioenergy and environmental strategies.</w:t>
      </w:r>
    </w:p>
    <w:p w:rsidR="00CD340E" w:rsidRPr="00215827" w:rsidRDefault="00CD340E" w:rsidP="00CD340E">
      <w:pPr>
        <w:rPr>
          <w:rFonts w:eastAsia="Times New Roman" w:cs="Times New Roman"/>
          <w:lang w:eastAsia="en-GB"/>
        </w:rPr>
      </w:pPr>
      <w:r w:rsidRPr="00215827">
        <w:t xml:space="preserve">Many of the identified national and regional policies in </w:t>
      </w:r>
      <w:r w:rsidR="00721728">
        <w:t>France</w:t>
      </w:r>
      <w:r w:rsidRPr="00215827">
        <w:t xml:space="preserve">are in fact response mechanisms to EU-level overarching strategies and targets. Nevertheless, France, like each EU member state, can set its own priorities and strategies in order to reach the EU targets. </w:t>
      </w:r>
      <w:r w:rsidR="005860D9" w:rsidRPr="00215827">
        <w:t>In</w:t>
      </w:r>
      <w:r w:rsidRPr="00215827">
        <w:t xml:space="preserve"> regard to national energy targets, France has a primary obligation set in the EU Renewable Energy Directive (RED) to source </w:t>
      </w:r>
      <w:r w:rsidR="00227029">
        <w:t>23% of energy from renewable sources, including</w:t>
      </w:r>
      <w:r w:rsidR="00227029">
        <w:rPr>
          <w:rFonts w:eastAsia="Times New Roman" w:cs="Times New Roman"/>
          <w:lang w:eastAsia="en-GB"/>
        </w:rPr>
        <w:t xml:space="preserve"> 10</w:t>
      </w:r>
      <w:r w:rsidRPr="00215827">
        <w:rPr>
          <w:rFonts w:eastAsia="Times New Roman" w:cs="Times New Roman"/>
          <w:lang w:eastAsia="en-GB"/>
        </w:rPr>
        <w:t xml:space="preserve">% of transport fuels </w:t>
      </w:r>
      <w:bookmarkStart w:id="0" w:name="_GoBack"/>
      <w:bookmarkEnd w:id="0"/>
      <w:r w:rsidRPr="00215827">
        <w:rPr>
          <w:rFonts w:eastAsia="Times New Roman" w:cs="Times New Roman"/>
          <w:lang w:eastAsia="en-GB"/>
        </w:rPr>
        <w:t xml:space="preserve">by 2020. </w:t>
      </w:r>
      <w:r w:rsidR="00227029">
        <w:t xml:space="preserve">In response to RED targets, France plans to source </w:t>
      </w:r>
      <w:r w:rsidR="00227029" w:rsidRPr="00215827">
        <w:t>27</w:t>
      </w:r>
      <w:r w:rsidR="00227029" w:rsidRPr="00215827">
        <w:rPr>
          <w:rFonts w:eastAsia="Times New Roman" w:cs="Times New Roman"/>
          <w:lang w:eastAsia="en-GB"/>
        </w:rPr>
        <w:t>% of renewable electricity</w:t>
      </w:r>
      <w:r w:rsidR="00227029">
        <w:t xml:space="preserve">, </w:t>
      </w:r>
      <w:r w:rsidR="00227029" w:rsidRPr="00215827">
        <w:rPr>
          <w:rFonts w:eastAsia="Times New Roman" w:cs="Times New Roman"/>
          <w:lang w:eastAsia="en-GB"/>
        </w:rPr>
        <w:t>33% of heating and cooling</w:t>
      </w:r>
      <w:r w:rsidR="00227029">
        <w:rPr>
          <w:rFonts w:eastAsia="Times New Roman" w:cs="Times New Roman"/>
          <w:lang w:eastAsia="en-GB"/>
        </w:rPr>
        <w:t xml:space="preserve"> consumption</w:t>
      </w:r>
      <w:r w:rsidR="00227029">
        <w:t xml:space="preserve"> from renewable sources.</w:t>
      </w:r>
    </w:p>
    <w:p w:rsidR="00CD340E" w:rsidRPr="00215827" w:rsidRDefault="00984F0A" w:rsidP="00CD340E">
      <w:r w:rsidRPr="00215827">
        <w:t>T</w:t>
      </w:r>
      <w:r w:rsidR="00CD340E" w:rsidRPr="00215827">
        <w:t xml:space="preserve">echnologies that French policies strategically support to reach </w:t>
      </w:r>
      <w:r w:rsidRPr="00215827">
        <w:t>renewable</w:t>
      </w:r>
      <w:r w:rsidR="00CD340E" w:rsidRPr="00215827">
        <w:t xml:space="preserve"> targets, include biogas from </w:t>
      </w:r>
      <w:r w:rsidRPr="00215827">
        <w:t xml:space="preserve">Anaeroboc Digestion (AD) of </w:t>
      </w:r>
      <w:r w:rsidR="00CD340E" w:rsidRPr="00215827">
        <w:t xml:space="preserve">agricultural and food wastes, and bioelectricity and bioheat from combustion of wood and waste. Regarding waste, France </w:t>
      </w:r>
      <w:r w:rsidRPr="00215827">
        <w:t>wishesto invest mainly i</w:t>
      </w:r>
      <w:r w:rsidR="00CD340E" w:rsidRPr="00215827">
        <w:t>n the development</w:t>
      </w:r>
      <w:r w:rsidRPr="00215827">
        <w:t xml:space="preserve"> of waste recovery technologies</w:t>
      </w:r>
      <w:r w:rsidR="00CD340E" w:rsidRPr="00215827">
        <w:t xml:space="preserve"> such as AD, and not in landfilling </w:t>
      </w:r>
      <w:r w:rsidRPr="00215827">
        <w:t>or</w:t>
      </w:r>
      <w:r w:rsidR="00CD340E" w:rsidRPr="00215827">
        <w:t xml:space="preserve"> waste incineration. </w:t>
      </w:r>
      <w:r w:rsidR="002D332D" w:rsidRPr="00215827">
        <w:t xml:space="preserve">France envisages positioning itself as the leader in AD technologies among others. </w:t>
      </w:r>
      <w:r w:rsidRPr="00215827">
        <w:t>Because 50% of solid biomass electricity comes from waste incineration</w:t>
      </w:r>
      <w:r w:rsidR="00CD340E" w:rsidRPr="00215827">
        <w:t xml:space="preserve">, </w:t>
      </w:r>
      <w:r w:rsidRPr="00215827">
        <w:t>France wishes</w:t>
      </w:r>
      <w:r w:rsidR="002A6EA1" w:rsidRPr="00215827">
        <w:t xml:space="preserve"> to</w:t>
      </w:r>
      <w:r w:rsidR="002D332D" w:rsidRPr="00215827">
        <w:t>invest further</w:t>
      </w:r>
      <w:r w:rsidRPr="00215827">
        <w:t xml:space="preserve"> in </w:t>
      </w:r>
      <w:r w:rsidR="00CD340E" w:rsidRPr="00215827">
        <w:t xml:space="preserve">other bioenergy technologies like AD, biomass power or biomass CHP. </w:t>
      </w:r>
      <w:r w:rsidR="00F8515C">
        <w:t xml:space="preserve">Yet </w:t>
      </w:r>
      <w:r w:rsidR="00F8515C">
        <w:rPr>
          <w:szCs w:val="22"/>
        </w:rPr>
        <w:t>AD technologies have</w:t>
      </w:r>
      <w:r w:rsidR="00CD340E" w:rsidRPr="00215827">
        <w:rPr>
          <w:szCs w:val="22"/>
        </w:rPr>
        <w:t xml:space="preserve"> strong potential to use algae as biomass feedstock, especially if algae are produced in conjunction with wastewater or flue gas bioremediation.</w:t>
      </w:r>
    </w:p>
    <w:p w:rsidR="00CD340E" w:rsidRPr="00215827" w:rsidRDefault="00CD340E" w:rsidP="00CD340E">
      <w:r w:rsidRPr="00215827">
        <w:t xml:space="preserve">To reach </w:t>
      </w:r>
      <w:r w:rsidR="00C92B11" w:rsidRPr="00215827">
        <w:t xml:space="preserve">its </w:t>
      </w:r>
      <w:r w:rsidRPr="00215827">
        <w:t>targets France has issued several financial schemes for project development and capital investment, like funds for research and development, financial aids for creation of industrial demonstrations, installation or purchase of equipment</w:t>
      </w:r>
      <w:r w:rsidR="00C92B11" w:rsidRPr="00215827">
        <w:t xml:space="preserve"> in domestic and commercial sector</w:t>
      </w:r>
      <w:r w:rsidRPr="00215827">
        <w:t xml:space="preserve">, soft loans, etc. </w:t>
      </w:r>
      <w:r w:rsidR="00C92B11" w:rsidRPr="00215827">
        <w:t>Additionallyto</w:t>
      </w:r>
      <w:r w:rsidRPr="00215827">
        <w:t xml:space="preserve"> reach the renewable energy quotas, Fr</w:t>
      </w:r>
      <w:r w:rsidR="00C92B11" w:rsidRPr="00215827">
        <w:t>ance</w:t>
      </w:r>
      <w:r w:rsidRPr="00215827">
        <w:t xml:space="preserve"> has created policies like feed-in tariffs for bioelectricity and bioheat and tax exemptions for biofuels. </w:t>
      </w:r>
    </w:p>
    <w:p w:rsidR="00CD340E" w:rsidRPr="00215827" w:rsidRDefault="00CD340E" w:rsidP="00CD340E">
      <w:r w:rsidRPr="00215827">
        <w:t>For transport biofuels, in order to reach the 10.5% renewable target, biofuels have to be blended with conventional fuels as defined for each fuel type. If the fuel suppliers do not follow the biofuels quota, they will enter in a higher tax-rate for polluting activities (TGAP).</w:t>
      </w:r>
    </w:p>
    <w:p w:rsidR="00E5360D" w:rsidRPr="00215827" w:rsidRDefault="00CD340E" w:rsidP="00E5360D">
      <w:r w:rsidRPr="00215827">
        <w:rPr>
          <w:szCs w:val="22"/>
        </w:rPr>
        <w:t xml:space="preserve">Further on, findings from landscape analysis of </w:t>
      </w:r>
      <w:r w:rsidR="00241FAD" w:rsidRPr="00215827">
        <w:rPr>
          <w:szCs w:val="22"/>
        </w:rPr>
        <w:t>French</w:t>
      </w:r>
      <w:r w:rsidRPr="00215827">
        <w:rPr>
          <w:szCs w:val="22"/>
        </w:rPr>
        <w:t xml:space="preserve"> legislation are listed by topic. First are presented the overarching strategies and acts, which are then followed by targeting incentives.</w:t>
      </w:r>
    </w:p>
    <w:p w:rsidR="00E5360D" w:rsidRPr="00215827" w:rsidRDefault="00E5360D" w:rsidP="007C37AE">
      <w:pPr>
        <w:pStyle w:val="Titolo1"/>
        <w:sectPr w:rsidR="00E5360D" w:rsidRPr="00215827" w:rsidSect="00E5360D">
          <w:footerReference w:type="default" r:id="rId11"/>
          <w:pgSz w:w="11906" w:h="16838"/>
          <w:pgMar w:top="1440" w:right="1440" w:bottom="1440" w:left="1440" w:header="709" w:footer="709" w:gutter="0"/>
          <w:cols w:space="708"/>
          <w:docGrid w:linePitch="360"/>
        </w:sectPr>
      </w:pPr>
    </w:p>
    <w:p w:rsidR="00E5360D" w:rsidRPr="00215827" w:rsidRDefault="00E5360D" w:rsidP="00E5360D">
      <w:pPr>
        <w:pStyle w:val="Titolo1"/>
      </w:pPr>
      <w:r w:rsidRPr="00215827">
        <w:lastRenderedPageBreak/>
        <w:t xml:space="preserve">General Policy Framework </w:t>
      </w:r>
    </w:p>
    <w:tbl>
      <w:tblPr>
        <w:tblStyle w:val="Sfondomedio1-Colore2"/>
        <w:tblpPr w:leftFromText="181" w:rightFromText="181" w:vertAnchor="text" w:horzAnchor="margin" w:tblpXSpec="center" w:tblpY="1"/>
        <w:tblOverlap w:val="never"/>
        <w:tblW w:w="0" w:type="auto"/>
        <w:tblLook w:val="06A0"/>
      </w:tblPr>
      <w:tblGrid>
        <w:gridCol w:w="4297"/>
        <w:gridCol w:w="9877"/>
      </w:tblGrid>
      <w:tr w:rsidR="00CB71EC" w:rsidRPr="00215827" w:rsidTr="00852E29">
        <w:trPr>
          <w:cnfStyle w:val="100000000000"/>
          <w:cantSplit/>
          <w:trHeight w:val="406"/>
        </w:trPr>
        <w:tc>
          <w:tcPr>
            <w:cnfStyle w:val="001000000000"/>
            <w:tcW w:w="0" w:type="auto"/>
          </w:tcPr>
          <w:p w:rsidR="00CB71EC" w:rsidRPr="00215827" w:rsidRDefault="00CB71EC" w:rsidP="00852E29">
            <w:pPr>
              <w:pStyle w:val="Nessunaspaziatura"/>
            </w:pPr>
            <w:r w:rsidRPr="00215827">
              <w:t>Policy</w:t>
            </w:r>
          </w:p>
        </w:tc>
        <w:tc>
          <w:tcPr>
            <w:tcW w:w="0" w:type="auto"/>
          </w:tcPr>
          <w:p w:rsidR="00CB71EC" w:rsidRPr="00215827" w:rsidRDefault="00CB71EC" w:rsidP="00852E29">
            <w:pPr>
              <w:pStyle w:val="Nessunaspaziatura"/>
              <w:cnfStyle w:val="100000000000"/>
            </w:pPr>
            <w:r w:rsidRPr="00215827">
              <w:t>Key Measures/Aims</w:t>
            </w:r>
          </w:p>
        </w:tc>
      </w:tr>
      <w:tr w:rsidR="00CB71EC" w:rsidRPr="00215827" w:rsidTr="00E5360D">
        <w:trPr>
          <w:cantSplit/>
        </w:trPr>
        <w:tc>
          <w:tcPr>
            <w:cnfStyle w:val="001000000000"/>
            <w:tcW w:w="0" w:type="auto"/>
          </w:tcPr>
          <w:p w:rsidR="00CB71EC" w:rsidRPr="00215827" w:rsidRDefault="00CB71EC" w:rsidP="00852E29">
            <w:pPr>
              <w:pStyle w:val="Nessunaspaziatura"/>
              <w:rPr>
                <w:lang w:val="da-DK"/>
              </w:rPr>
            </w:pPr>
            <w:r w:rsidRPr="00215827">
              <w:rPr>
                <w:lang w:val="da-DK"/>
              </w:rPr>
              <w:t>Grenelle de l’Environnement.</w:t>
            </w:r>
          </w:p>
          <w:p w:rsidR="00CB71EC" w:rsidRPr="00215827" w:rsidRDefault="00CB71EC" w:rsidP="00852E29">
            <w:pPr>
              <w:pStyle w:val="Nessunaspaziatura"/>
              <w:rPr>
                <w:lang w:val="da-DK"/>
              </w:rPr>
            </w:pPr>
            <w:r w:rsidRPr="00215827">
              <w:rPr>
                <w:lang w:val="da-DK"/>
              </w:rPr>
              <w:t>Grenelle Environment Law (2009,2010)</w:t>
            </w:r>
            <w:r w:rsidR="007C37AE" w:rsidRPr="00215827">
              <w:rPr>
                <w:vertAlign w:val="superscript"/>
              </w:rPr>
              <w:footnoteReference w:id="3"/>
            </w:r>
          </w:p>
        </w:tc>
        <w:tc>
          <w:tcPr>
            <w:tcW w:w="0" w:type="auto"/>
          </w:tcPr>
          <w:p w:rsidR="00CB71EC" w:rsidRPr="00215827" w:rsidRDefault="00CB71EC" w:rsidP="002F1D9D">
            <w:pPr>
              <w:pStyle w:val="Nessunaspaziatura"/>
              <w:cnfStyle w:val="000000000000"/>
            </w:pPr>
            <w:r w:rsidRPr="00215827">
              <w:t xml:space="preserve">The Grenelle Environmental Law is based on the recommendations of the Grenelle Environment Forum, which was to establish France’s priorities for sustainable development. There have been two Grenelle laws, the first in 2009 and the second in 2010. One of the recommendations was to increase renewable energies by 50% </w:t>
            </w:r>
            <w:r w:rsidR="000D2E73" w:rsidRPr="00215827">
              <w:t>in</w:t>
            </w:r>
            <w:r w:rsidRPr="00215827">
              <w:t xml:space="preserve"> 2012 and 120% by 2020</w:t>
            </w:r>
            <w:r w:rsidR="00373452" w:rsidRPr="00215827">
              <w:t>. T</w:t>
            </w:r>
            <w:r w:rsidRPr="00215827">
              <w:t xml:space="preserve">he details of the Grenelle Environment law are summarised in the </w:t>
            </w:r>
            <w:r w:rsidR="00623D70" w:rsidRPr="00215827">
              <w:t>National action plan for the promotion of renewable energies 2009-2020</w:t>
            </w:r>
            <w:r w:rsidRPr="00215827">
              <w:t>.</w:t>
            </w:r>
          </w:p>
        </w:tc>
      </w:tr>
      <w:tr w:rsidR="00CB71EC" w:rsidRPr="00215827" w:rsidTr="00E5360D">
        <w:trPr>
          <w:cantSplit/>
        </w:trPr>
        <w:tc>
          <w:tcPr>
            <w:cnfStyle w:val="001000000000"/>
            <w:tcW w:w="0" w:type="auto"/>
          </w:tcPr>
          <w:p w:rsidR="00CB71EC" w:rsidRPr="00215827" w:rsidRDefault="00CB71EC" w:rsidP="00852E29">
            <w:pPr>
              <w:pStyle w:val="Nessunaspaziatura"/>
            </w:pPr>
            <w:r w:rsidRPr="00215827">
              <w:t>National Renewable Energy Action Plan (2010)</w:t>
            </w:r>
            <w:r w:rsidR="000A7F32" w:rsidRPr="00215827">
              <w:t>.</w:t>
            </w:r>
            <w:r w:rsidR="000A7F32" w:rsidRPr="00215827">
              <w:rPr>
                <w:vertAlign w:val="superscript"/>
              </w:rPr>
              <w:footnoteReference w:id="4"/>
            </w:r>
            <w:r w:rsidR="00FE4F5B" w:rsidRPr="00215827">
              <w:t>(</w:t>
            </w:r>
            <w:r w:rsidR="000A7F32" w:rsidRPr="00215827">
              <w:t>In accordance with Article 4 of European Union Directive 2009/28/EC).</w:t>
            </w:r>
          </w:p>
        </w:tc>
        <w:tc>
          <w:tcPr>
            <w:tcW w:w="0" w:type="auto"/>
          </w:tcPr>
          <w:p w:rsidR="00066473" w:rsidRPr="00215827" w:rsidRDefault="00066473" w:rsidP="00066473">
            <w:pPr>
              <w:pStyle w:val="Nessunaspaziatura"/>
              <w:cnfStyle w:val="000000000000"/>
            </w:pPr>
            <w:r w:rsidRPr="00215827">
              <w:t>The National Renewable Energy Action Plan (NREAP) envisages an increase in the production of biomass electricity from 3.8 TWh in 2010 to 17.2 TWh in 2020, by doubling solid biomass electricity production (wood and household waste) and tripling biogas electricity production. The incineration of household waste (currently representing more than 50% of solid biomass electricity production) should remain the same; it is therefore wood and biogas that should provide the additional 13.4 TWh.</w:t>
            </w:r>
          </w:p>
          <w:p w:rsidR="000A7F32" w:rsidRPr="00215827" w:rsidRDefault="000A7F32" w:rsidP="00852E29">
            <w:pPr>
              <w:pStyle w:val="Nessunaspaziatura"/>
              <w:cnfStyle w:val="000000000000"/>
            </w:pPr>
            <w:r w:rsidRPr="00215827">
              <w:t>Various incentives and aid schemes have been established</w:t>
            </w:r>
            <w:r w:rsidR="00066473" w:rsidRPr="00215827">
              <w:t xml:space="preserve"> towards reaching these targets</w:t>
            </w:r>
            <w:r w:rsidRPr="00215827">
              <w:t>: financial aid for research and development projects, aid for the creation of industrial demonstrators, aid for the installation or purchase of equipment, soft loans, etc. France intends to position itself as the leader in technologies as diverse as wind power, maritime energies, solar photovoltaics and thermodynamic, the production of biogas units, etc.</w:t>
            </w:r>
          </w:p>
          <w:p w:rsidR="00CB71EC" w:rsidRPr="00215827" w:rsidRDefault="00CB71EC" w:rsidP="00852E29">
            <w:pPr>
              <w:pStyle w:val="Nessunaspaziatura"/>
              <w:cnfStyle w:val="000000000000"/>
            </w:pPr>
            <w:r w:rsidRPr="00215827">
              <w:t xml:space="preserve">The National Renewable Energy Action Plan sets a target of the share of renewable energies to be </w:t>
            </w:r>
            <w:r w:rsidR="003013D3">
              <w:t xml:space="preserve">23% in total, and broken down to </w:t>
            </w:r>
            <w:r w:rsidRPr="00215827">
              <w:t>27 % in electricity sector, 33 % in heating/cooling sector</w:t>
            </w:r>
            <w:r w:rsidR="003013D3">
              <w:t>,</w:t>
            </w:r>
            <w:r w:rsidRPr="00215827">
              <w:t xml:space="preserve"> and 10</w:t>
            </w:r>
            <w:r w:rsidR="0008421D" w:rsidRPr="00215827">
              <w:t>.</w:t>
            </w:r>
            <w:r w:rsidRPr="00215827">
              <w:t>5 % in transport sector by 2020</w:t>
            </w:r>
            <w:r w:rsidR="000A7F32" w:rsidRPr="00215827">
              <w:t>.</w:t>
            </w:r>
          </w:p>
        </w:tc>
      </w:tr>
      <w:tr w:rsidR="006914F0" w:rsidRPr="00215827" w:rsidTr="00E5360D">
        <w:trPr>
          <w:cantSplit/>
        </w:trPr>
        <w:tc>
          <w:tcPr>
            <w:cnfStyle w:val="001000000000"/>
            <w:tcW w:w="0" w:type="auto"/>
          </w:tcPr>
          <w:p w:rsidR="006914F0" w:rsidRPr="00215827" w:rsidRDefault="006914F0" w:rsidP="00852E29">
            <w:pPr>
              <w:pStyle w:val="Nessunaspaziatura"/>
            </w:pPr>
            <w:r w:rsidRPr="00215827">
              <w:lastRenderedPageBreak/>
              <w:t>Decree of 15 December 2009 on the multiannual investment program of heat production</w:t>
            </w:r>
            <w:r w:rsidR="00925C45" w:rsidRPr="00215827">
              <w:rPr>
                <w:vertAlign w:val="superscript"/>
              </w:rPr>
              <w:footnoteReference w:id="5"/>
            </w:r>
          </w:p>
        </w:tc>
        <w:tc>
          <w:tcPr>
            <w:tcW w:w="0" w:type="auto"/>
          </w:tcPr>
          <w:p w:rsidR="00B101ED" w:rsidRPr="00215827" w:rsidRDefault="00B101ED" w:rsidP="00852E29">
            <w:pPr>
              <w:pStyle w:val="Nessunaspaziatura"/>
              <w:cnfStyle w:val="000000000000"/>
              <w:rPr>
                <w:lang/>
              </w:rPr>
            </w:pPr>
            <w:r w:rsidRPr="00215827">
              <w:t xml:space="preserve">The multiannual investment program for bringing </w:t>
            </w:r>
            <w:r w:rsidR="0008421D" w:rsidRPr="00215827">
              <w:t xml:space="preserve">renewable </w:t>
            </w:r>
            <w:r w:rsidRPr="00215827">
              <w:t>heat technologies to the market for satisfying heating capacity targets. Strategic technologies are among others:</w:t>
            </w:r>
          </w:p>
          <w:p w:rsidR="006914F0" w:rsidRPr="00215827" w:rsidRDefault="00B101ED" w:rsidP="00852E29">
            <w:pPr>
              <w:pStyle w:val="Nessunaspaziatura"/>
              <w:cnfStyle w:val="000000000000"/>
            </w:pPr>
            <w:r w:rsidRPr="00215827">
              <w:t>P</w:t>
            </w:r>
            <w:r w:rsidR="002A4214" w:rsidRPr="00215827">
              <w:t>ower (co)generation from biomass (no</w:t>
            </w:r>
            <w:r w:rsidR="003930F3" w:rsidRPr="00215827">
              <w:t>t</w:t>
            </w:r>
            <w:r w:rsidRPr="00215827">
              <w:t xml:space="preserve"> through biogas)</w:t>
            </w:r>
            <w:r w:rsidR="002A4214" w:rsidRPr="00215827">
              <w:t>: 2300 MW from the date of publication (11 January 2010)of this Order and</w:t>
            </w:r>
            <w:r w:rsidR="003930F3" w:rsidRPr="00215827">
              <w:t xml:space="preserve"> till</w:t>
            </w:r>
            <w:r w:rsidR="002A4214" w:rsidRPr="00215827">
              <w:t xml:space="preserve"> December 31, 2020. </w:t>
            </w:r>
            <w:r w:rsidR="006914F0" w:rsidRPr="00215827">
              <w:t>The development objectives of the heat production from renewable energies in France are as follows, in terms of overall production</w:t>
            </w:r>
            <w:r w:rsidR="0040724B" w:rsidRPr="00215827">
              <w:t>:</w:t>
            </w:r>
          </w:p>
          <w:p w:rsidR="00FF58BA" w:rsidRPr="00215827" w:rsidRDefault="006914F0" w:rsidP="00852E29">
            <w:pPr>
              <w:pStyle w:val="Nessunaspaziatura"/>
              <w:cnfStyle w:val="000000000000"/>
            </w:pPr>
            <w:r w:rsidRPr="00215827">
              <w:t>For heat produced by cogeneration from biomass:2,400 ktoe to 31 December 2020.</w:t>
            </w:r>
            <w:r w:rsidR="00D15E58" w:rsidRPr="00215827">
              <w:t>With</w:t>
            </w:r>
            <w:r w:rsidRPr="00215827">
              <w:t xml:space="preserve"> the renewable share of waste</w:t>
            </w:r>
            <w:r w:rsidR="00FF58BA" w:rsidRPr="00215827">
              <w:t xml:space="preserve">, </w:t>
            </w:r>
            <w:r w:rsidRPr="00215827">
              <w:t>900 ktoe to 31 December 2020.</w:t>
            </w:r>
          </w:p>
          <w:p w:rsidR="006914F0" w:rsidRPr="00215827" w:rsidRDefault="006914F0" w:rsidP="00585FB0">
            <w:pPr>
              <w:pStyle w:val="Nessunaspaziatura"/>
              <w:cnfStyle w:val="000000000000"/>
            </w:pPr>
            <w:r w:rsidRPr="00215827">
              <w:t>For biogas: 555 ktoe</w:t>
            </w:r>
            <w:r w:rsidR="00585FB0" w:rsidRPr="00215827">
              <w:t>by</w:t>
            </w:r>
            <w:r w:rsidRPr="00215827">
              <w:t xml:space="preserve"> 31 December 2020.</w:t>
            </w:r>
          </w:p>
        </w:tc>
      </w:tr>
      <w:tr w:rsidR="008F72DC" w:rsidRPr="00215827" w:rsidTr="00E5360D">
        <w:trPr>
          <w:cantSplit/>
        </w:trPr>
        <w:tc>
          <w:tcPr>
            <w:cnfStyle w:val="001000000000"/>
            <w:tcW w:w="0" w:type="auto"/>
          </w:tcPr>
          <w:p w:rsidR="008F72DC" w:rsidRPr="00215827" w:rsidRDefault="008F72DC" w:rsidP="00852E29">
            <w:pPr>
              <w:pStyle w:val="Nessunaspaziatura"/>
            </w:pPr>
            <w:r w:rsidRPr="00215827">
              <w:t>The Waste Action Plan 2009-2012</w:t>
            </w:r>
          </w:p>
        </w:tc>
        <w:tc>
          <w:tcPr>
            <w:tcW w:w="0" w:type="auto"/>
          </w:tcPr>
          <w:p w:rsidR="008F72DC" w:rsidRPr="00215827" w:rsidRDefault="008F72DC" w:rsidP="00852E29">
            <w:pPr>
              <w:pStyle w:val="Nessunaspaziatura"/>
              <w:cnfStyle w:val="000000000000"/>
            </w:pPr>
            <w:r w:rsidRPr="00215827">
              <w:t>The priority objectives are foremost source reduction of waste production and the development of recycling and recovery.The plan includes:</w:t>
            </w:r>
          </w:p>
          <w:p w:rsidR="008F72DC" w:rsidRPr="00215827" w:rsidRDefault="008F72DC" w:rsidP="00852E29">
            <w:pPr>
              <w:pStyle w:val="Nessunaspaziatura"/>
              <w:cnfStyle w:val="000000000000"/>
            </w:pPr>
            <w:r w:rsidRPr="00215827">
              <w:t>- 7% reduction in the production of household and similar waste per capita over the next five years, of the order of 1</w:t>
            </w:r>
            <w:r w:rsidR="0008421D" w:rsidRPr="00215827">
              <w:t>.</w:t>
            </w:r>
            <w:r w:rsidRPr="00215827">
              <w:t>5 million tons of waste avoided;</w:t>
            </w:r>
          </w:p>
          <w:p w:rsidR="008F72DC" w:rsidRPr="00215827" w:rsidRDefault="008F72DC" w:rsidP="00852E29">
            <w:pPr>
              <w:pStyle w:val="Nessunaspaziatura"/>
              <w:cnfStyle w:val="000000000000"/>
            </w:pPr>
            <w:r w:rsidRPr="00215827">
              <w:t xml:space="preserve">- Improving the recycling rate of organic matter </w:t>
            </w:r>
            <w:r w:rsidR="004066E2" w:rsidRPr="00215827">
              <w:t xml:space="preserve">to </w:t>
            </w:r>
            <w:r w:rsidRPr="00215827">
              <w:t>35% in 2012 and 45% in 2015 for household waste and 75% in 2012 for corporate waste and packaging;</w:t>
            </w:r>
          </w:p>
          <w:p w:rsidR="008F72DC" w:rsidRPr="00215827" w:rsidRDefault="008F72DC" w:rsidP="00852E29">
            <w:pPr>
              <w:pStyle w:val="Nessunaspaziatura"/>
              <w:cnfStyle w:val="000000000000"/>
            </w:pPr>
            <w:r w:rsidRPr="00215827">
              <w:t xml:space="preserve">- Better use of waste to reduce by 15% </w:t>
            </w:r>
            <w:r w:rsidR="0065582D" w:rsidRPr="00215827">
              <w:t xml:space="preserve">of </w:t>
            </w:r>
            <w:r w:rsidRPr="00215827">
              <w:t>the amounts</w:t>
            </w:r>
            <w:r w:rsidR="0065582D" w:rsidRPr="00215827">
              <w:t xml:space="preserve"> sent to</w:t>
            </w:r>
            <w:r w:rsidRPr="00215827">
              <w:t xml:space="preserve"> incineration and </w:t>
            </w:r>
            <w:r w:rsidR="0065582D" w:rsidRPr="00215827">
              <w:t>landfill</w:t>
            </w:r>
            <w:r w:rsidRPr="00215827">
              <w:t>.</w:t>
            </w:r>
          </w:p>
          <w:p w:rsidR="008F72DC" w:rsidRPr="00215827" w:rsidRDefault="0065582D" w:rsidP="0065582D">
            <w:pPr>
              <w:pStyle w:val="Nessunaspaziatura"/>
              <w:cnfStyle w:val="000000000000"/>
            </w:pPr>
            <w:r w:rsidRPr="00215827">
              <w:t xml:space="preserve">Support will be prioritized towaste </w:t>
            </w:r>
            <w:r w:rsidR="008F72DC" w:rsidRPr="00215827">
              <w:t xml:space="preserve">prevention, </w:t>
            </w:r>
            <w:r w:rsidRPr="00215827">
              <w:t xml:space="preserve">for </w:t>
            </w:r>
            <w:r w:rsidR="008F72DC" w:rsidRPr="00215827">
              <w:t xml:space="preserve">which </w:t>
            </w:r>
            <w:r w:rsidRPr="00215827">
              <w:t xml:space="preserve">€195 million for 2009-2011 (or </w:t>
            </w:r>
            <w:r w:rsidR="008F72DC" w:rsidRPr="00215827">
              <w:t xml:space="preserve">34% of </w:t>
            </w:r>
            <w:r w:rsidRPr="00215827">
              <w:t>furnd) will be allocated</w:t>
            </w:r>
            <w:r w:rsidR="008F72DC" w:rsidRPr="00215827">
              <w:t>,</w:t>
            </w:r>
            <w:r w:rsidRPr="00215827">
              <w:t xml:space="preserve">waste </w:t>
            </w:r>
            <w:r w:rsidR="008F72DC" w:rsidRPr="00215827">
              <w:t xml:space="preserve">recycling </w:t>
            </w:r>
            <w:r w:rsidRPr="00215827">
              <w:t>programs will receive €</w:t>
            </w:r>
            <w:r w:rsidR="008F72DC" w:rsidRPr="00215827">
              <w:t>105 million</w:t>
            </w:r>
            <w:r w:rsidRPr="00215827">
              <w:t xml:space="preserve"> (18%)</w:t>
            </w:r>
            <w:r w:rsidR="008F72DC" w:rsidRPr="00215827">
              <w:t xml:space="preserve">, organic recovery with 18% to </w:t>
            </w:r>
            <w:r w:rsidRPr="00215827">
              <w:t>€</w:t>
            </w:r>
            <w:r w:rsidR="008F72DC" w:rsidRPr="00215827">
              <w:t>105 million</w:t>
            </w:r>
            <w:r w:rsidRPr="00215827">
              <w:t>.</w:t>
            </w:r>
          </w:p>
        </w:tc>
      </w:tr>
    </w:tbl>
    <w:p w:rsidR="00CB71EC" w:rsidRPr="00215827" w:rsidRDefault="00CB71EC" w:rsidP="00996C34">
      <w:pPr>
        <w:pStyle w:val="Nessunaspaziatura"/>
      </w:pPr>
    </w:p>
    <w:p w:rsidR="00EF0858" w:rsidRPr="00215827" w:rsidRDefault="00EF0858" w:rsidP="00996C34">
      <w:pPr>
        <w:pStyle w:val="Nessunaspaziatura"/>
      </w:pPr>
    </w:p>
    <w:p w:rsidR="00EF0858" w:rsidRPr="00215827" w:rsidRDefault="00EF0858" w:rsidP="00996C34">
      <w:pPr>
        <w:pStyle w:val="Nessunaspaziatura"/>
      </w:pPr>
    </w:p>
    <w:p w:rsidR="00EF0858" w:rsidRPr="00215827" w:rsidRDefault="00EF0858" w:rsidP="00996C34">
      <w:pPr>
        <w:pStyle w:val="Nessunaspaziatura"/>
      </w:pPr>
    </w:p>
    <w:p w:rsidR="00EF0858" w:rsidRPr="00215827" w:rsidRDefault="00EF0858" w:rsidP="00996C34">
      <w:pPr>
        <w:pStyle w:val="Nessunaspaziatura"/>
      </w:pPr>
    </w:p>
    <w:p w:rsidR="00EF0858" w:rsidRPr="00215827" w:rsidRDefault="00EF0858" w:rsidP="00996C34">
      <w:pPr>
        <w:pStyle w:val="Nessunaspaziatura"/>
      </w:pPr>
    </w:p>
    <w:p w:rsidR="00EF0858" w:rsidRPr="00215827" w:rsidRDefault="00EF0858" w:rsidP="00996C34">
      <w:pPr>
        <w:pStyle w:val="Nessunaspaziatura"/>
      </w:pPr>
    </w:p>
    <w:p w:rsidR="00EF0858" w:rsidRPr="00215827" w:rsidRDefault="00EF0858" w:rsidP="00996C34">
      <w:pPr>
        <w:pStyle w:val="Nessunaspaziatura"/>
      </w:pPr>
    </w:p>
    <w:p w:rsidR="00EF0858" w:rsidRPr="00215827" w:rsidRDefault="00EF0858" w:rsidP="00996C34">
      <w:pPr>
        <w:pStyle w:val="Nessunaspaziatura"/>
      </w:pPr>
    </w:p>
    <w:p w:rsidR="00EF0858" w:rsidRPr="00215827" w:rsidRDefault="00EF0858" w:rsidP="00996C34">
      <w:pPr>
        <w:pStyle w:val="Nessunaspaziatura"/>
      </w:pPr>
    </w:p>
    <w:p w:rsidR="00CB71EC" w:rsidRPr="00215827" w:rsidRDefault="00CB71EC" w:rsidP="00ED6A1E">
      <w:pPr>
        <w:pStyle w:val="Titolo1"/>
        <w:rPr>
          <w:b/>
        </w:rPr>
      </w:pPr>
      <w:r w:rsidRPr="00215827">
        <w:lastRenderedPageBreak/>
        <w:t xml:space="preserve">Bioenergy </w:t>
      </w:r>
    </w:p>
    <w:tbl>
      <w:tblPr>
        <w:tblStyle w:val="Sfondomedio1-Colore2"/>
        <w:tblpPr w:leftFromText="181" w:rightFromText="181" w:vertAnchor="text" w:horzAnchor="margin" w:tblpY="1"/>
        <w:tblW w:w="0" w:type="auto"/>
        <w:tblLook w:val="06A0"/>
      </w:tblPr>
      <w:tblGrid>
        <w:gridCol w:w="2261"/>
        <w:gridCol w:w="3315"/>
        <w:gridCol w:w="4508"/>
        <w:gridCol w:w="4090"/>
      </w:tblGrid>
      <w:tr w:rsidR="00F13BD6" w:rsidRPr="00215827" w:rsidTr="002B18D5">
        <w:trPr>
          <w:cnfStyle w:val="100000000000"/>
          <w:cantSplit/>
          <w:trHeight w:val="401"/>
        </w:trPr>
        <w:tc>
          <w:tcPr>
            <w:cnfStyle w:val="001000000000"/>
            <w:tcW w:w="0" w:type="auto"/>
          </w:tcPr>
          <w:p w:rsidR="00CB71EC" w:rsidRPr="00215827" w:rsidRDefault="00CB71EC" w:rsidP="002B18D5">
            <w:pPr>
              <w:pStyle w:val="Nessunaspaziatura"/>
            </w:pPr>
            <w:r w:rsidRPr="00215827">
              <w:t xml:space="preserve">Policy </w:t>
            </w:r>
          </w:p>
        </w:tc>
        <w:tc>
          <w:tcPr>
            <w:tcW w:w="0" w:type="auto"/>
          </w:tcPr>
          <w:p w:rsidR="00CB71EC" w:rsidRPr="00215827" w:rsidRDefault="00CB71EC" w:rsidP="002B18D5">
            <w:pPr>
              <w:pStyle w:val="Nessunaspaziatura"/>
              <w:cnfStyle w:val="100000000000"/>
            </w:pPr>
            <w:r w:rsidRPr="00215827">
              <w:t>Ambitions</w:t>
            </w:r>
          </w:p>
        </w:tc>
        <w:tc>
          <w:tcPr>
            <w:tcW w:w="0" w:type="auto"/>
          </w:tcPr>
          <w:p w:rsidR="00CB71EC" w:rsidRPr="00215827" w:rsidRDefault="00CB71EC" w:rsidP="002B18D5">
            <w:pPr>
              <w:pStyle w:val="Nessunaspaziatura"/>
              <w:cnfStyle w:val="100000000000"/>
            </w:pPr>
            <w:r w:rsidRPr="00215827">
              <w:t>Policy Measures</w:t>
            </w:r>
          </w:p>
        </w:tc>
        <w:tc>
          <w:tcPr>
            <w:tcW w:w="0" w:type="auto"/>
          </w:tcPr>
          <w:p w:rsidR="00CB71EC" w:rsidRPr="00215827" w:rsidRDefault="00CB71EC" w:rsidP="002B18D5">
            <w:pPr>
              <w:pStyle w:val="Nessunaspaziatura"/>
              <w:cnfStyle w:val="100000000000"/>
            </w:pPr>
            <w:r w:rsidRPr="00215827">
              <w:t>Financial Incentives</w:t>
            </w:r>
          </w:p>
        </w:tc>
      </w:tr>
      <w:tr w:rsidR="009A0D02" w:rsidRPr="00215827" w:rsidTr="002B18D5">
        <w:trPr>
          <w:cantSplit/>
          <w:trHeight w:val="1553"/>
        </w:trPr>
        <w:tc>
          <w:tcPr>
            <w:cnfStyle w:val="001000000000"/>
            <w:tcW w:w="0" w:type="auto"/>
          </w:tcPr>
          <w:p w:rsidR="00CB71EC" w:rsidRPr="00215827" w:rsidRDefault="000B6104" w:rsidP="002B18D5">
            <w:pPr>
              <w:pStyle w:val="Nessunaspaziatura"/>
              <w:rPr>
                <w:rFonts w:cs="Arial"/>
                <w:bCs w:val="0"/>
                <w:color w:val="454545"/>
              </w:rPr>
            </w:pPr>
            <w:r w:rsidRPr="00215827">
              <w:t>Feed-in-tariffs</w:t>
            </w:r>
            <w:r w:rsidR="00DC0AA1" w:rsidRPr="00215827">
              <w:t xml:space="preserve"> of Renewables Obligation (</w:t>
            </w:r>
            <w:r w:rsidR="00D349FC" w:rsidRPr="00215827">
              <w:t>2011</w:t>
            </w:r>
            <w:r w:rsidR="00DC0AA1" w:rsidRPr="00215827">
              <w:t>)</w:t>
            </w:r>
          </w:p>
          <w:p w:rsidR="00CB71EC" w:rsidRPr="00215827" w:rsidRDefault="00CB71EC" w:rsidP="002B18D5">
            <w:pPr>
              <w:pStyle w:val="Nessunaspaziatura"/>
              <w:rPr>
                <w:lang w:val="fr-BE"/>
              </w:rPr>
            </w:pPr>
            <w:r w:rsidRPr="00215827">
              <w:rPr>
                <w:lang w:val="fr-BE"/>
              </w:rPr>
              <w:t>(Obligation d’Achat des Énergies Renouvelables)</w:t>
            </w:r>
            <w:r w:rsidRPr="00215827">
              <w:rPr>
                <w:vertAlign w:val="superscript"/>
              </w:rPr>
              <w:footnoteReference w:id="6"/>
            </w:r>
          </w:p>
        </w:tc>
        <w:tc>
          <w:tcPr>
            <w:tcW w:w="0" w:type="auto"/>
          </w:tcPr>
          <w:p w:rsidR="00CB71EC" w:rsidRPr="00215827" w:rsidRDefault="00CB71EC" w:rsidP="002B18D5">
            <w:pPr>
              <w:pStyle w:val="Nessunaspaziatura"/>
              <w:cnfStyle w:val="000000000000"/>
            </w:pPr>
            <w:r w:rsidRPr="00215827">
              <w:t xml:space="preserve">Promote the uptake of renewable power. </w:t>
            </w:r>
          </w:p>
        </w:tc>
        <w:tc>
          <w:tcPr>
            <w:tcW w:w="0" w:type="auto"/>
          </w:tcPr>
          <w:p w:rsidR="00E805A2" w:rsidRPr="00215827" w:rsidRDefault="00E805A2" w:rsidP="009A4219">
            <w:pPr>
              <w:pStyle w:val="Nessunaspaziatura"/>
              <w:cnfStyle w:val="000000000000"/>
            </w:pPr>
            <w:r w:rsidRPr="00215827">
              <w:t xml:space="preserve">All the </w:t>
            </w:r>
            <w:r w:rsidR="00CB71EC" w:rsidRPr="00215827">
              <w:t xml:space="preserve">energy suppliers </w:t>
            </w:r>
            <w:r w:rsidRPr="00215827">
              <w:t xml:space="preserve">(including the national power supplier EDF) </w:t>
            </w:r>
            <w:r w:rsidR="00AD6FF5" w:rsidRPr="00215827">
              <w:t>are to get premium tariffs when producing</w:t>
            </w:r>
            <w:r w:rsidR="00CB71EC" w:rsidRPr="00215827">
              <w:t xml:space="preserve"> electricity generated by renewable sources of electricity </w:t>
            </w:r>
            <w:r w:rsidR="000B6104" w:rsidRPr="00215827">
              <w:t>or cogeneration</w:t>
            </w:r>
            <w:r w:rsidR="00CB71EC" w:rsidRPr="00215827">
              <w:t xml:space="preserve">. Both private and public suppliers are eligible for these </w:t>
            </w:r>
            <w:r w:rsidR="00AD6FF5" w:rsidRPr="00215827">
              <w:t>tariffs</w:t>
            </w:r>
            <w:r w:rsidR="00CB71EC" w:rsidRPr="00215827">
              <w:t>.</w:t>
            </w:r>
          </w:p>
          <w:p w:rsidR="00E805A2" w:rsidRPr="00215827" w:rsidRDefault="00E805A2" w:rsidP="00E805A2">
            <w:pPr>
              <w:pStyle w:val="Nessunaspaziatura"/>
              <w:cnfStyle w:val="000000000000"/>
            </w:pPr>
            <w:r w:rsidRPr="00215827">
              <w:t>Tariffs vary according to technology used, the origin of biomass, and if additional energy</w:t>
            </w:r>
            <w:r w:rsidR="00F75D98" w:rsidRPr="00215827">
              <w:t xml:space="preserve"> efficiency measures are taken. These renewable energy technologies are not subject to a cap.</w:t>
            </w:r>
          </w:p>
          <w:p w:rsidR="00CB71EC" w:rsidRPr="00215827" w:rsidRDefault="00EF5922" w:rsidP="009A4219">
            <w:pPr>
              <w:pStyle w:val="Nessunaspaziatura"/>
              <w:cnfStyle w:val="000000000000"/>
            </w:pPr>
            <w:r w:rsidRPr="00215827">
              <w:rPr>
                <w:rStyle w:val="notranslate"/>
              </w:rPr>
              <w:t>Except a fixed base rate a premium can be assigned according to criteria of power, resource use and energy efficiency.</w:t>
            </w:r>
          </w:p>
        </w:tc>
        <w:tc>
          <w:tcPr>
            <w:tcW w:w="0" w:type="auto"/>
          </w:tcPr>
          <w:p w:rsidR="00E805A2" w:rsidRPr="00215827" w:rsidRDefault="00CB71EC" w:rsidP="002B18D5">
            <w:pPr>
              <w:pStyle w:val="Nessunaspaziatura"/>
              <w:cnfStyle w:val="000000000000"/>
            </w:pPr>
            <w:r w:rsidRPr="00215827">
              <w:t xml:space="preserve">Biomass combustion: </w:t>
            </w:r>
          </w:p>
          <w:p w:rsidR="000B6104" w:rsidRPr="00215827" w:rsidRDefault="00B5159D" w:rsidP="002B18D5">
            <w:pPr>
              <w:pStyle w:val="Nessunaspaziatura"/>
              <w:cnfStyle w:val="000000000000"/>
              <w:rPr>
                <w:rStyle w:val="notranslate"/>
              </w:rPr>
            </w:pPr>
            <w:r w:rsidRPr="00215827">
              <w:t>Fixed rate for 20 years</w:t>
            </w:r>
            <w:r w:rsidR="00EF5922" w:rsidRPr="00215827">
              <w:t>:</w:t>
            </w:r>
            <w:r w:rsidR="000B6104" w:rsidRPr="00215827">
              <w:rPr>
                <w:rStyle w:val="notranslate"/>
              </w:rPr>
              <w:t xml:space="preserve">4.34 </w:t>
            </w:r>
            <w:r w:rsidR="00E805A2" w:rsidRPr="00215827">
              <w:rPr>
                <w:rStyle w:val="notranslate"/>
                <w:bCs/>
              </w:rPr>
              <w:t>c€/</w:t>
            </w:r>
            <w:r w:rsidR="000B6104" w:rsidRPr="00215827">
              <w:rPr>
                <w:rStyle w:val="notranslate"/>
                <w:bCs/>
              </w:rPr>
              <w:t>kWh</w:t>
            </w:r>
            <w:r w:rsidR="000B6104" w:rsidRPr="00215827">
              <w:rPr>
                <w:rStyle w:val="notranslate"/>
              </w:rPr>
              <w:t xml:space="preserve"> plus a premium of</w:t>
            </w:r>
            <w:r w:rsidR="00FC27F2" w:rsidRPr="00215827">
              <w:rPr>
                <w:rStyle w:val="notranslate"/>
              </w:rPr>
              <w:t xml:space="preserve"> energy efficiency</w:t>
            </w:r>
            <w:r w:rsidR="000B6104" w:rsidRPr="00215827">
              <w:rPr>
                <w:rStyle w:val="notranslate"/>
              </w:rPr>
              <w:t xml:space="preserve"> between 7.71 and 12.53 c</w:t>
            </w:r>
            <w:r w:rsidR="00E805A2" w:rsidRPr="00215827">
              <w:rPr>
                <w:rStyle w:val="notranslate"/>
              </w:rPr>
              <w:t>€</w:t>
            </w:r>
            <w:r w:rsidR="00EF5922" w:rsidRPr="00215827">
              <w:rPr>
                <w:rStyle w:val="notranslate"/>
              </w:rPr>
              <w:t>/</w:t>
            </w:r>
            <w:r w:rsidR="000B6104" w:rsidRPr="00215827">
              <w:rPr>
                <w:rStyle w:val="notranslate"/>
              </w:rPr>
              <w:t xml:space="preserve">kWh </w:t>
            </w:r>
          </w:p>
          <w:p w:rsidR="00EF5922" w:rsidRPr="00215827" w:rsidRDefault="00CB71EC" w:rsidP="002B18D5">
            <w:pPr>
              <w:pStyle w:val="Nessunaspaziatura"/>
              <w:cnfStyle w:val="000000000000"/>
            </w:pPr>
            <w:r w:rsidRPr="00215827">
              <w:t xml:space="preserve">Biogas: </w:t>
            </w:r>
          </w:p>
          <w:p w:rsidR="000B6104" w:rsidRPr="00215827" w:rsidRDefault="000B6104" w:rsidP="002B18D5">
            <w:pPr>
              <w:pStyle w:val="Nessunaspaziatura"/>
              <w:cnfStyle w:val="000000000000"/>
            </w:pPr>
            <w:r w:rsidRPr="00215827">
              <w:t xml:space="preserve">Fixed rate for 15 years </w:t>
            </w:r>
            <w:r w:rsidRPr="00215827">
              <w:rPr>
                <w:rStyle w:val="notranslate"/>
              </w:rPr>
              <w:t>between</w:t>
            </w:r>
            <w:r w:rsidR="00EF5922" w:rsidRPr="00215827">
              <w:rPr>
                <w:rStyle w:val="Enfasigrassetto"/>
                <w:b w:val="0"/>
                <w:color w:val="auto"/>
              </w:rPr>
              <w:t>8.121-9.745 c€/</w:t>
            </w:r>
            <w:r w:rsidRPr="00215827">
              <w:rPr>
                <w:rStyle w:val="Enfasigrassetto"/>
                <w:b w:val="0"/>
                <w:color w:val="auto"/>
              </w:rPr>
              <w:t>kWh</w:t>
            </w:r>
            <w:r w:rsidRPr="00215827">
              <w:rPr>
                <w:rStyle w:val="notranslate"/>
              </w:rPr>
              <w:t xml:space="preserve"> depending on the power plus a premium energy efficiency between </w:t>
            </w:r>
            <w:r w:rsidRPr="00215827">
              <w:rPr>
                <w:rStyle w:val="Enfasigrassetto"/>
                <w:b w:val="0"/>
                <w:color w:val="auto"/>
              </w:rPr>
              <w:t>0 and 4 c</w:t>
            </w:r>
            <w:r w:rsidR="003B2EA2" w:rsidRPr="00215827">
              <w:rPr>
                <w:rStyle w:val="Enfasigrassetto"/>
                <w:b w:val="0"/>
                <w:color w:val="auto"/>
              </w:rPr>
              <w:t>€/</w:t>
            </w:r>
            <w:r w:rsidRPr="00215827">
              <w:rPr>
                <w:rStyle w:val="Enfasigrassetto"/>
                <w:b w:val="0"/>
                <w:color w:val="auto"/>
              </w:rPr>
              <w:t>kWh</w:t>
            </w:r>
          </w:p>
          <w:p w:rsidR="00EF5922" w:rsidRPr="00215827" w:rsidRDefault="007613B0" w:rsidP="002B18D5">
            <w:pPr>
              <w:pStyle w:val="Nessunaspaziatura"/>
              <w:cnfStyle w:val="000000000000"/>
            </w:pPr>
            <w:r w:rsidRPr="00215827">
              <w:t>Biomethane i</w:t>
            </w:r>
            <w:r w:rsidR="00CB71EC" w:rsidRPr="00215827">
              <w:t>njected</w:t>
            </w:r>
            <w:r w:rsidR="00EF5922" w:rsidRPr="00215827">
              <w:t xml:space="preserve"> to the grid</w:t>
            </w:r>
            <w:r w:rsidR="00CB71EC" w:rsidRPr="00215827">
              <w:t xml:space="preserve">: </w:t>
            </w:r>
          </w:p>
          <w:p w:rsidR="00D349FC" w:rsidRPr="00215827" w:rsidRDefault="00CB71EC" w:rsidP="002B18D5">
            <w:pPr>
              <w:pStyle w:val="Nessunaspaziatura"/>
              <w:cnfStyle w:val="000000000000"/>
            </w:pPr>
            <w:r w:rsidRPr="00215827">
              <w:t>A fixed tariff of between 11.19-13.37</w:t>
            </w:r>
            <w:r w:rsidR="00271222" w:rsidRPr="00215827">
              <w:t>c</w:t>
            </w:r>
            <w:r w:rsidR="00271222" w:rsidRPr="00215827">
              <w:rPr>
                <w:rFonts w:cstheme="minorHAnsi"/>
              </w:rPr>
              <w:t>€</w:t>
            </w:r>
            <w:r w:rsidRPr="00215827">
              <w:t>/kWh for 15 years with a premium of between 0-2.6</w:t>
            </w:r>
            <w:r w:rsidR="00271222" w:rsidRPr="00215827">
              <w:t xml:space="preserve"> c</w:t>
            </w:r>
            <w:r w:rsidR="00271222" w:rsidRPr="00215827">
              <w:rPr>
                <w:rFonts w:cstheme="minorHAnsi"/>
              </w:rPr>
              <w:t>€</w:t>
            </w:r>
            <w:r w:rsidRPr="00215827">
              <w:t>/kWh for utilisation of livestock effluent and 0-4</w:t>
            </w:r>
            <w:r w:rsidR="00271222" w:rsidRPr="00215827">
              <w:t xml:space="preserve"> c</w:t>
            </w:r>
            <w:r w:rsidR="00271222" w:rsidRPr="00215827">
              <w:rPr>
                <w:rFonts w:cstheme="minorHAnsi"/>
              </w:rPr>
              <w:t>€</w:t>
            </w:r>
            <w:r w:rsidR="00EF5922" w:rsidRPr="00215827">
              <w:t xml:space="preserve">/kWh for energy efficiency. </w:t>
            </w:r>
          </w:p>
        </w:tc>
      </w:tr>
      <w:tr w:rsidR="009A0D02" w:rsidRPr="00215827" w:rsidTr="002B18D5">
        <w:trPr>
          <w:cantSplit/>
          <w:trHeight w:val="1035"/>
        </w:trPr>
        <w:tc>
          <w:tcPr>
            <w:cnfStyle w:val="001000000000"/>
            <w:tcW w:w="0" w:type="auto"/>
          </w:tcPr>
          <w:p w:rsidR="00B006D9" w:rsidRPr="00215827" w:rsidRDefault="00BC0B93" w:rsidP="002B18D5">
            <w:pPr>
              <w:pStyle w:val="Nessunaspaziatura"/>
            </w:pPr>
            <w:r w:rsidRPr="00215827">
              <w:lastRenderedPageBreak/>
              <w:t>Sustainable development Income tax credit</w:t>
            </w:r>
            <w:r w:rsidR="008D53B8" w:rsidRPr="00215827">
              <w:t xml:space="preserve"> 2005</w:t>
            </w:r>
            <w:r w:rsidR="00DC0AA1" w:rsidRPr="00215827">
              <w:t>-2012</w:t>
            </w:r>
            <w:r w:rsidR="001F7FC9" w:rsidRPr="00215827">
              <w:rPr>
                <w:rStyle w:val="Rimandonotaapidipagina"/>
              </w:rPr>
              <w:footnoteReference w:id="7"/>
            </w:r>
            <w:r w:rsidR="00D96832" w:rsidRPr="00215827">
              <w:t>,</w:t>
            </w:r>
            <w:r w:rsidR="00AB34B9" w:rsidRPr="00215827">
              <w:rPr>
                <w:rStyle w:val="Rimandonotaapidipagina"/>
              </w:rPr>
              <w:footnoteReference w:id="8"/>
            </w:r>
          </w:p>
          <w:p w:rsidR="002A4214" w:rsidRPr="00215827" w:rsidRDefault="002A4214" w:rsidP="00455903">
            <w:pPr>
              <w:pStyle w:val="Nessunaspaziatura"/>
            </w:pPr>
            <w:r w:rsidRPr="00215827">
              <w:rPr>
                <w:rFonts w:eastAsia="Times New Roman" w:cs="Times New Roman"/>
                <w:lang w:eastAsia="en-GB"/>
              </w:rPr>
              <w:t>(Créditd´impôt)</w:t>
            </w:r>
          </w:p>
        </w:tc>
        <w:tc>
          <w:tcPr>
            <w:tcW w:w="0" w:type="auto"/>
          </w:tcPr>
          <w:p w:rsidR="00B006D9" w:rsidRPr="00215827" w:rsidRDefault="00BC0B93" w:rsidP="00246EA9">
            <w:pPr>
              <w:pStyle w:val="Nessunaspaziatura"/>
              <w:cnfStyle w:val="000000000000"/>
            </w:pPr>
            <w:r w:rsidRPr="00215827">
              <w:t>This measure contributes to</w:t>
            </w:r>
            <w:r w:rsidR="00820BC5" w:rsidRPr="00215827">
              <w:t xml:space="preserve"> the</w:t>
            </w:r>
            <w:r w:rsidRPr="00215827">
              <w:t xml:space="preserve"> achievement of French targets in</w:t>
            </w:r>
            <w:r w:rsidR="00246EA9" w:rsidRPr="00215827">
              <w:t xml:space="preserve"> energy saving</w:t>
            </w:r>
            <w:r w:rsidRPr="00215827">
              <w:t xml:space="preserve"> and renewable energies</w:t>
            </w:r>
            <w:r w:rsidR="0074461D" w:rsidRPr="00215827">
              <w:t xml:space="preserve">in </w:t>
            </w:r>
            <w:r w:rsidR="00820BC5" w:rsidRPr="00215827">
              <w:t xml:space="preserve">the </w:t>
            </w:r>
            <w:r w:rsidR="0074461D" w:rsidRPr="00215827">
              <w:t>domestic sector.</w:t>
            </w:r>
          </w:p>
        </w:tc>
        <w:tc>
          <w:tcPr>
            <w:tcW w:w="0" w:type="auto"/>
          </w:tcPr>
          <w:p w:rsidR="00E307A8" w:rsidRPr="00215827" w:rsidRDefault="0074461D" w:rsidP="002B18D5">
            <w:pPr>
              <w:pStyle w:val="Nessunaspaziatura"/>
              <w:cnfStyle w:val="000000000000"/>
              <w:rPr>
                <w:rFonts w:cs="Times New Roman"/>
              </w:rPr>
            </w:pPr>
            <w:r w:rsidRPr="00215827">
              <w:t>T</w:t>
            </w:r>
            <w:r w:rsidR="00BC0B93" w:rsidRPr="00215827">
              <w:t xml:space="preserve">he income tax credit </w:t>
            </w:r>
            <w:r w:rsidR="00831A4A" w:rsidRPr="00215827">
              <w:rPr>
                <w:rFonts w:cs="Times New Roman"/>
              </w:rPr>
              <w:t>is granted to tax payers</w:t>
            </w:r>
            <w:r w:rsidR="007E768D" w:rsidRPr="00215827">
              <w:rPr>
                <w:rFonts w:cs="Times New Roman"/>
              </w:rPr>
              <w:t xml:space="preserve">, who pay expenditure forequipment for their main residence </w:t>
            </w:r>
            <w:r w:rsidR="007E768D" w:rsidRPr="00215827">
              <w:t xml:space="preserve">that </w:t>
            </w:r>
            <w:r w:rsidR="007613B0" w:rsidRPr="00215827">
              <w:t>for increasing</w:t>
            </w:r>
            <w:r w:rsidR="007E768D" w:rsidRPr="00215827">
              <w:t xml:space="preserve">energy </w:t>
            </w:r>
            <w:r w:rsidR="005605B2" w:rsidRPr="00215827">
              <w:t>e</w:t>
            </w:r>
            <w:r w:rsidR="00BC0B93" w:rsidRPr="00215827">
              <w:t>fficien</w:t>
            </w:r>
            <w:r w:rsidR="007613B0" w:rsidRPr="00215827">
              <w:t>cy</w:t>
            </w:r>
            <w:r w:rsidR="007E768D" w:rsidRPr="00215827">
              <w:t xml:space="preserve"> and use </w:t>
            </w:r>
            <w:r w:rsidR="007613B0" w:rsidRPr="00215827">
              <w:t xml:space="preserve">of </w:t>
            </w:r>
            <w:r w:rsidR="007E768D" w:rsidRPr="00215827">
              <w:t>renewables</w:t>
            </w:r>
            <w:r w:rsidR="00E307A8" w:rsidRPr="00215827">
              <w:t>.</w:t>
            </w:r>
            <w:r w:rsidR="008D53B8" w:rsidRPr="00215827">
              <w:rPr>
                <w:rFonts w:cs="Times New Roman"/>
              </w:rPr>
              <w:t xml:space="preserve">In particular, </w:t>
            </w:r>
            <w:r w:rsidR="00D053C0" w:rsidRPr="00215827">
              <w:rPr>
                <w:rFonts w:cs="Times New Roman"/>
              </w:rPr>
              <w:t>eligible</w:t>
            </w:r>
            <w:r w:rsidR="008D53B8" w:rsidRPr="00215827">
              <w:rPr>
                <w:rFonts w:cs="Times New Roman"/>
              </w:rPr>
              <w:t xml:space="preserve"> equipmentfor </w:t>
            </w:r>
            <w:r w:rsidR="007613B0" w:rsidRPr="00215827">
              <w:rPr>
                <w:rFonts w:cs="Times New Roman"/>
              </w:rPr>
              <w:t xml:space="preserve">production of renewable </w:t>
            </w:r>
            <w:r w:rsidR="008D53B8" w:rsidRPr="00215827">
              <w:rPr>
                <w:rFonts w:cs="Times New Roman"/>
              </w:rPr>
              <w:t>energy are: heating appliancesoperating on wood or other biomasses</w:t>
            </w:r>
            <w:r w:rsidR="005605B2" w:rsidRPr="00215827">
              <w:rPr>
                <w:rFonts w:cs="Times New Roman"/>
              </w:rPr>
              <w:t>with a maximum capacity of 300 MW</w:t>
            </w:r>
            <w:r w:rsidR="008D53B8" w:rsidRPr="00215827">
              <w:rPr>
                <w:rFonts w:cs="Times New Roman"/>
              </w:rPr>
              <w:t>, equipment for the production of electricity operating on biomass.</w:t>
            </w:r>
            <w:r w:rsidR="00D053C0" w:rsidRPr="00215827">
              <w:rPr>
                <w:rFonts w:cs="Times New Roman"/>
              </w:rPr>
              <w:t>Plants that generate more than 3 kW are eligible only if the electricity consumption of the building is higher than half of the nominal installed capacity.</w:t>
            </w:r>
          </w:p>
          <w:p w:rsidR="005605B2" w:rsidRPr="00215827" w:rsidRDefault="008D53B8" w:rsidP="008D5CBD">
            <w:pPr>
              <w:pStyle w:val="Nessunaspaziatura"/>
              <w:cnfStyle w:val="000000000000"/>
              <w:rPr>
                <w:rFonts w:cs="Times New Roman"/>
              </w:rPr>
            </w:pPr>
            <w:r w:rsidRPr="00215827">
              <w:rPr>
                <w:rFonts w:cs="Times New Roman"/>
              </w:rPr>
              <w:t xml:space="preserve">The tax credit was </w:t>
            </w:r>
            <w:r w:rsidR="00E307A8" w:rsidRPr="00215827">
              <w:rPr>
                <w:rFonts w:cs="Times New Roman"/>
              </w:rPr>
              <w:t>valid</w:t>
            </w:r>
            <w:r w:rsidRPr="00215827">
              <w:rPr>
                <w:rFonts w:cs="Times New Roman"/>
              </w:rPr>
              <w:t xml:space="preserve"> until 2012.</w:t>
            </w:r>
            <w:r w:rsidR="00E307A8" w:rsidRPr="00215827">
              <w:rPr>
                <w:rFonts w:cs="Times New Roman"/>
              </w:rPr>
              <w:t xml:space="preserve"> However, it is extended until 2015 for installations carried out in buildings completed </w:t>
            </w:r>
            <w:r w:rsidR="008D5CBD" w:rsidRPr="00215827">
              <w:rPr>
                <w:rFonts w:cs="Times New Roman"/>
              </w:rPr>
              <w:t>before</w:t>
            </w:r>
            <w:r w:rsidR="00E307A8" w:rsidRPr="00215827">
              <w:rPr>
                <w:rFonts w:cs="Times New Roman"/>
              </w:rPr>
              <w:t xml:space="preserve"> two years</w:t>
            </w:r>
            <w:r w:rsidR="008D5CBD" w:rsidRPr="00215827">
              <w:rPr>
                <w:rFonts w:cs="Times New Roman"/>
              </w:rPr>
              <w:t xml:space="preserve"> ago</w:t>
            </w:r>
            <w:r w:rsidR="00E307A8" w:rsidRPr="00215827">
              <w:rPr>
                <w:rFonts w:cs="Times New Roman"/>
              </w:rPr>
              <w:t>.</w:t>
            </w:r>
          </w:p>
        </w:tc>
        <w:tc>
          <w:tcPr>
            <w:tcW w:w="0" w:type="auto"/>
          </w:tcPr>
          <w:p w:rsidR="008D5CBD" w:rsidRPr="00215827" w:rsidRDefault="00831A4A" w:rsidP="002B18D5">
            <w:pPr>
              <w:pStyle w:val="Nessunaspaziatura"/>
              <w:cnfStyle w:val="000000000000"/>
              <w:rPr>
                <w:rFonts w:cs="Times New Roman"/>
              </w:rPr>
            </w:pPr>
            <w:r w:rsidRPr="00215827">
              <w:rPr>
                <w:rFonts w:cs="Times New Roman"/>
              </w:rPr>
              <w:t>End-users</w:t>
            </w:r>
            <w:r w:rsidR="00E307A8" w:rsidRPr="00215827">
              <w:rPr>
                <w:rFonts w:cs="Times New Roman"/>
              </w:rPr>
              <w:t xml:space="preserve"> that install renewable energy plants at their principal residence may </w:t>
            </w:r>
            <w:r w:rsidR="00820BC5" w:rsidRPr="00215827">
              <w:rPr>
                <w:rFonts w:cs="Times New Roman"/>
              </w:rPr>
              <w:t>claim</w:t>
            </w:r>
            <w:r w:rsidR="00E307A8" w:rsidRPr="00215827">
              <w:rPr>
                <w:rFonts w:cs="Times New Roman"/>
              </w:rPr>
              <w:t xml:space="preserve">32% of the net hardware costs from tax. </w:t>
            </w:r>
          </w:p>
          <w:p w:rsidR="00E307A8" w:rsidRPr="00215827" w:rsidRDefault="007E768D" w:rsidP="002B18D5">
            <w:pPr>
              <w:pStyle w:val="Nessunaspaziatura"/>
              <w:cnfStyle w:val="000000000000"/>
              <w:rPr>
                <w:rFonts w:cs="Times New Roman"/>
              </w:rPr>
            </w:pPr>
            <w:r w:rsidRPr="00215827">
              <w:rPr>
                <w:rFonts w:cs="Times New Roman"/>
              </w:rPr>
              <w:t>The ceiling for e</w:t>
            </w:r>
            <w:r w:rsidR="00E307A8" w:rsidRPr="00215827">
              <w:rPr>
                <w:rFonts w:cs="Times New Roman"/>
              </w:rPr>
              <w:t>ligible expenditure, fixed at €</w:t>
            </w:r>
            <w:r w:rsidRPr="00215827">
              <w:rPr>
                <w:rFonts w:cs="Times New Roman"/>
              </w:rPr>
              <w:t>8</w:t>
            </w:r>
            <w:r w:rsidR="00E307A8" w:rsidRPr="00215827">
              <w:rPr>
                <w:rFonts w:cs="Times New Roman"/>
              </w:rPr>
              <w:t>,</w:t>
            </w:r>
            <w:r w:rsidRPr="00215827">
              <w:rPr>
                <w:rFonts w:cs="Times New Roman"/>
              </w:rPr>
              <w:t>0</w:t>
            </w:r>
            <w:r w:rsidR="00E307A8" w:rsidRPr="00215827">
              <w:rPr>
                <w:rFonts w:cs="Times New Roman"/>
              </w:rPr>
              <w:t>00 for a single person and €16,000 for</w:t>
            </w:r>
            <w:r w:rsidRPr="00215827">
              <w:rPr>
                <w:rFonts w:cs="Times New Roman"/>
              </w:rPr>
              <w:t xml:space="preserve"> couple</w:t>
            </w:r>
            <w:r w:rsidR="00E307A8" w:rsidRPr="00215827">
              <w:rPr>
                <w:rFonts w:cs="Times New Roman"/>
              </w:rPr>
              <w:t>s</w:t>
            </w:r>
            <w:r w:rsidRPr="00215827">
              <w:rPr>
                <w:rFonts w:cs="Times New Roman"/>
              </w:rPr>
              <w:t xml:space="preserve"> subject to joint taxation</w:t>
            </w:r>
            <w:r w:rsidR="00E307A8" w:rsidRPr="00215827">
              <w:rPr>
                <w:rFonts w:cs="Times New Roman"/>
              </w:rPr>
              <w:t>, plus €400 per dependant.</w:t>
            </w:r>
          </w:p>
        </w:tc>
      </w:tr>
      <w:tr w:rsidR="009A0D02" w:rsidRPr="00215827" w:rsidTr="002B18D5">
        <w:trPr>
          <w:cantSplit/>
          <w:trHeight w:val="1035"/>
        </w:trPr>
        <w:tc>
          <w:tcPr>
            <w:cnfStyle w:val="001000000000"/>
            <w:tcW w:w="0" w:type="auto"/>
          </w:tcPr>
          <w:p w:rsidR="0074461D" w:rsidRPr="00215827" w:rsidRDefault="00DC0AA1" w:rsidP="005E2607">
            <w:pPr>
              <w:pStyle w:val="Nessunaspaziatura"/>
            </w:pPr>
            <w:r w:rsidRPr="00215827">
              <w:rPr>
                <w:rFonts w:cs="Times New Roman"/>
              </w:rPr>
              <w:t xml:space="preserve">Reduced </w:t>
            </w:r>
            <w:r w:rsidR="005E2607" w:rsidRPr="00215827">
              <w:rPr>
                <w:rFonts w:cs="Times New Roman"/>
              </w:rPr>
              <w:t xml:space="preserve"> VAT </w:t>
            </w:r>
            <w:r w:rsidRPr="00215827">
              <w:rPr>
                <w:rFonts w:cs="Times New Roman"/>
              </w:rPr>
              <w:t>rate</w:t>
            </w:r>
            <w:r w:rsidR="002278F6" w:rsidRPr="00215827">
              <w:rPr>
                <w:rStyle w:val="Rimandonotaapidipagina"/>
                <w:rFonts w:cs="Times New Roman"/>
              </w:rPr>
              <w:footnoteReference w:id="9"/>
            </w:r>
            <w:r w:rsidR="00153D80" w:rsidRPr="00215827">
              <w:rPr>
                <w:rFonts w:cs="Times New Roman"/>
              </w:rPr>
              <w:t>,</w:t>
            </w:r>
            <w:r w:rsidR="0073036A" w:rsidRPr="00215827">
              <w:rPr>
                <w:rStyle w:val="Rimandonotaapidipagina"/>
                <w:rFonts w:cs="Times New Roman"/>
              </w:rPr>
              <w:footnoteReference w:id="10"/>
            </w:r>
          </w:p>
        </w:tc>
        <w:tc>
          <w:tcPr>
            <w:tcW w:w="0" w:type="auto"/>
          </w:tcPr>
          <w:p w:rsidR="0074461D" w:rsidRPr="00215827" w:rsidRDefault="002278F6" w:rsidP="00A1611C">
            <w:pPr>
              <w:pStyle w:val="Nessunaspaziatura"/>
              <w:cnfStyle w:val="000000000000"/>
            </w:pPr>
            <w:r w:rsidRPr="00215827">
              <w:t xml:space="preserve">This measure contributes to the achievement of theFrench targets </w:t>
            </w:r>
            <w:r w:rsidR="00A1611C" w:rsidRPr="00215827">
              <w:t xml:space="preserve">in </w:t>
            </w:r>
            <w:r w:rsidRPr="00215827">
              <w:t xml:space="preserve">energy saving and renewable energies in </w:t>
            </w:r>
            <w:r w:rsidR="005E2607" w:rsidRPr="00215827">
              <w:t xml:space="preserve">the </w:t>
            </w:r>
            <w:r w:rsidRPr="00215827">
              <w:t>domestic sector.</w:t>
            </w:r>
          </w:p>
        </w:tc>
        <w:tc>
          <w:tcPr>
            <w:tcW w:w="0" w:type="auto"/>
          </w:tcPr>
          <w:p w:rsidR="0074461D" w:rsidRPr="00215827" w:rsidRDefault="00CA5DC2" w:rsidP="002B18D5">
            <w:pPr>
              <w:pStyle w:val="Nessunaspaziatura"/>
              <w:cnfStyle w:val="000000000000"/>
            </w:pPr>
            <w:r w:rsidRPr="00215827">
              <w:rPr>
                <w:rFonts w:cs="Times New Roman"/>
              </w:rPr>
              <w:t xml:space="preserve">Aimed for funding work on residential buildings that are more than 2 years old, </w:t>
            </w:r>
            <w:r w:rsidR="00153D80" w:rsidRPr="00215827">
              <w:rPr>
                <w:rFonts w:cs="Times New Roman"/>
              </w:rPr>
              <w:t>for purchasing and setting up</w:t>
            </w:r>
            <w:r w:rsidR="0073036A" w:rsidRPr="00215827">
              <w:rPr>
                <w:rFonts w:cs="Times New Roman"/>
              </w:rPr>
              <w:t>electricity and heat</w:t>
            </w:r>
            <w:r w:rsidRPr="00215827">
              <w:rPr>
                <w:rFonts w:cs="Times New Roman"/>
              </w:rPr>
              <w:t xml:space="preserve"> production equipment in the existing residential sector</w:t>
            </w:r>
            <w:r w:rsidR="005605B2" w:rsidRPr="00215827">
              <w:rPr>
                <w:rFonts w:cs="Times New Roman"/>
              </w:rPr>
              <w:t>, e.g.</w:t>
            </w:r>
            <w:r w:rsidR="002278F6" w:rsidRPr="00215827">
              <w:t xml:space="preserve"> biomass plants</w:t>
            </w:r>
            <w:r w:rsidR="00AB34B9" w:rsidRPr="00215827">
              <w:t>.</w:t>
            </w:r>
          </w:p>
          <w:p w:rsidR="0073036A" w:rsidRPr="00215827" w:rsidRDefault="0073036A" w:rsidP="002B18D5">
            <w:pPr>
              <w:pStyle w:val="Nessunaspaziatura"/>
              <w:cnfStyle w:val="000000000000"/>
              <w:rPr>
                <w:rFonts w:cs="Times New Roman"/>
              </w:rPr>
            </w:pPr>
            <w:r w:rsidRPr="00215827">
              <w:t>The following renewable energy technologies are eligible: boilers, heat pumps, fireplace inserts, wood-burning stoves, solar water heaters</w:t>
            </w:r>
          </w:p>
        </w:tc>
        <w:tc>
          <w:tcPr>
            <w:tcW w:w="0" w:type="auto"/>
          </w:tcPr>
          <w:p w:rsidR="0074461D" w:rsidRPr="00215827" w:rsidRDefault="00932392" w:rsidP="00153D80">
            <w:pPr>
              <w:pStyle w:val="Nessunaspaziatura"/>
              <w:cnfStyle w:val="000000000000"/>
              <w:rPr>
                <w:rFonts w:eastAsia="Times New Roman"/>
                <w:lang w:eastAsia="en-GB"/>
              </w:rPr>
            </w:pPr>
            <w:r w:rsidRPr="00215827">
              <w:rPr>
                <w:rFonts w:eastAsia="Times New Roman"/>
                <w:lang w:eastAsia="en-GB"/>
              </w:rPr>
              <w:t>On the French mainland and in Corsica, the reduced VAT rate is 7%. In the ov</w:t>
            </w:r>
            <w:r w:rsidR="002278F6" w:rsidRPr="00215827">
              <w:rPr>
                <w:rFonts w:eastAsia="Times New Roman"/>
                <w:lang w:eastAsia="en-GB"/>
              </w:rPr>
              <w:t xml:space="preserve">erseas departments and regions </w:t>
            </w:r>
            <w:r w:rsidRPr="00215827">
              <w:rPr>
                <w:rFonts w:eastAsia="Times New Roman"/>
                <w:lang w:eastAsia="en-GB"/>
              </w:rPr>
              <w:t xml:space="preserve">of Guadeloupe, Martinique and Réunion, the VAT amounts to 2.10% (Art. 296, Code general des Impôts) </w:t>
            </w:r>
          </w:p>
        </w:tc>
      </w:tr>
      <w:tr w:rsidR="009A0D02" w:rsidRPr="00215827" w:rsidTr="002B18D5">
        <w:trPr>
          <w:cantSplit/>
          <w:trHeight w:val="1035"/>
        </w:trPr>
        <w:tc>
          <w:tcPr>
            <w:cnfStyle w:val="001000000000"/>
            <w:tcW w:w="0" w:type="auto"/>
          </w:tcPr>
          <w:p w:rsidR="00996C34" w:rsidRPr="00215827" w:rsidRDefault="001E2E65" w:rsidP="002B18D5">
            <w:pPr>
              <w:pStyle w:val="Nessunaspaziatura"/>
              <w:rPr>
                <w:rFonts w:eastAsia="Times New Roman" w:cs="Times New Roman"/>
                <w:bCs w:val="0"/>
                <w:lang w:eastAsia="en-GB"/>
              </w:rPr>
            </w:pPr>
            <w:r w:rsidRPr="00215827">
              <w:lastRenderedPageBreak/>
              <w:t>Z</w:t>
            </w:r>
            <w:r w:rsidR="00996C34" w:rsidRPr="00215827">
              <w:t xml:space="preserve">ero percent-interest loan </w:t>
            </w:r>
            <w:r w:rsidR="00996C34" w:rsidRPr="00215827">
              <w:rPr>
                <w:rFonts w:eastAsia="Times New Roman" w:cs="Times New Roman"/>
                <w:lang w:eastAsia="en-GB"/>
              </w:rPr>
              <w:t>(Éco-prêt à tauxzéro) 2009</w:t>
            </w:r>
            <w:r w:rsidR="00996C34" w:rsidRPr="00215827">
              <w:rPr>
                <w:rStyle w:val="Rimandonotaapidipagina"/>
                <w:rFonts w:eastAsia="Times New Roman" w:cs="Times New Roman"/>
                <w:lang w:eastAsia="en-GB"/>
              </w:rPr>
              <w:footnoteReference w:id="11"/>
            </w:r>
          </w:p>
          <w:p w:rsidR="00996C34" w:rsidRPr="00215827" w:rsidRDefault="00996C34" w:rsidP="002B18D5">
            <w:pPr>
              <w:pStyle w:val="Nessunaspaziatura"/>
              <w:rPr>
                <w:rFonts w:cs="Times New Roman"/>
              </w:rPr>
            </w:pPr>
          </w:p>
        </w:tc>
        <w:tc>
          <w:tcPr>
            <w:tcW w:w="0" w:type="auto"/>
          </w:tcPr>
          <w:p w:rsidR="00D84421" w:rsidRPr="00215827" w:rsidRDefault="00996C34" w:rsidP="002B18D5">
            <w:pPr>
              <w:pStyle w:val="Nessunaspaziatura"/>
              <w:cnfStyle w:val="000000000000"/>
              <w:rPr>
                <w:rFonts w:cs="Times New Roman"/>
              </w:rPr>
            </w:pPr>
            <w:r w:rsidRPr="00215827">
              <w:rPr>
                <w:rFonts w:cs="Times New Roman"/>
              </w:rPr>
              <w:t xml:space="preserve">Renewable heating </w:t>
            </w:r>
            <w:r w:rsidR="008F1660" w:rsidRPr="00215827">
              <w:rPr>
                <w:rFonts w:cs="Times New Roman"/>
              </w:rPr>
              <w:t xml:space="preserve">and/or hot water </w:t>
            </w:r>
            <w:r w:rsidRPr="00215827">
              <w:rPr>
                <w:rFonts w:cs="Times New Roman"/>
              </w:rPr>
              <w:t>(bioenergy</w:t>
            </w:r>
            <w:r w:rsidR="008F1660" w:rsidRPr="00215827">
              <w:rPr>
                <w:rFonts w:cs="Times New Roman"/>
              </w:rPr>
              <w:t>/wood</w:t>
            </w:r>
            <w:r w:rsidRPr="00215827">
              <w:rPr>
                <w:rFonts w:cs="Times New Roman"/>
              </w:rPr>
              <w:t xml:space="preserve"> heating)</w:t>
            </w:r>
            <w:r w:rsidR="00D84421" w:rsidRPr="00215827">
              <w:rPr>
                <w:rFonts w:cs="Times New Roman"/>
              </w:rPr>
              <w:t xml:space="preserve">. </w:t>
            </w:r>
          </w:p>
          <w:p w:rsidR="00996C34" w:rsidRPr="00215827" w:rsidRDefault="00D84421" w:rsidP="002B18D5">
            <w:pPr>
              <w:pStyle w:val="Nessunaspaziatura"/>
              <w:cnfStyle w:val="000000000000"/>
              <w:rPr>
                <w:rFonts w:cs="Times New Roman"/>
              </w:rPr>
            </w:pPr>
            <w:r w:rsidRPr="00215827">
              <w:t>It allows the financing of work aiming at improving the energy performance of the housing built before 1990</w:t>
            </w:r>
          </w:p>
        </w:tc>
        <w:tc>
          <w:tcPr>
            <w:tcW w:w="0" w:type="auto"/>
          </w:tcPr>
          <w:p w:rsidR="00150E52" w:rsidRPr="00215827" w:rsidRDefault="00996C34" w:rsidP="0011040B">
            <w:pPr>
              <w:pStyle w:val="Nessunaspaziatura"/>
              <w:cnfStyle w:val="000000000000"/>
            </w:pPr>
            <w:r w:rsidRPr="00215827">
              <w:t xml:space="preserve">One of the conditions in order to benefit from the loan is to carry out </w:t>
            </w:r>
            <w:r w:rsidR="001E2E65" w:rsidRPr="00215827">
              <w:t xml:space="preserve">the </w:t>
            </w:r>
            <w:r w:rsidR="0011040B" w:rsidRPr="00215827">
              <w:t>instal</w:t>
            </w:r>
            <w:r w:rsidR="001E2E65" w:rsidRPr="00215827">
              <w:t>lation of</w:t>
            </w:r>
            <w:r w:rsidRPr="00215827">
              <w:t xml:space="preserve"> a heating plant or of a sanitary hot water s</w:t>
            </w:r>
            <w:r w:rsidR="003D7EF9" w:rsidRPr="00215827">
              <w:t>ystem using biomass</w:t>
            </w:r>
            <w:r w:rsidRPr="00215827">
              <w:t xml:space="preserve">. </w:t>
            </w:r>
          </w:p>
          <w:p w:rsidR="00996C34" w:rsidRPr="00215827" w:rsidRDefault="00996C34" w:rsidP="0011040B">
            <w:pPr>
              <w:pStyle w:val="Nessunaspaziatura"/>
              <w:cnfStyle w:val="000000000000"/>
            </w:pPr>
            <w:r w:rsidRPr="00215827">
              <w:t xml:space="preserve">Only one loan can be granted per housing unit. </w:t>
            </w:r>
          </w:p>
        </w:tc>
        <w:tc>
          <w:tcPr>
            <w:tcW w:w="0" w:type="auto"/>
          </w:tcPr>
          <w:p w:rsidR="00996C34" w:rsidRPr="00215827" w:rsidRDefault="00996C34" w:rsidP="002B18D5">
            <w:pPr>
              <w:pStyle w:val="Nessunaspaziatura"/>
              <w:cnfStyle w:val="000000000000"/>
              <w:rPr>
                <w:rFonts w:eastAsia="Times New Roman" w:cs="Times New Roman"/>
                <w:lang w:eastAsia="en-GB"/>
              </w:rPr>
            </w:pPr>
            <w:r w:rsidRPr="00215827">
              <w:rPr>
                <w:rFonts w:eastAsia="Times New Roman" w:cs="Times New Roman"/>
                <w:lang w:eastAsia="en-GB"/>
              </w:rPr>
              <w:t>The amount of the zero percent-interest loan equals the amount of the costs of the works u</w:t>
            </w:r>
            <w:r w:rsidR="00150E52" w:rsidRPr="00215827">
              <w:rPr>
                <w:rFonts w:eastAsia="Times New Roman" w:cs="Times New Roman"/>
                <w:lang w:eastAsia="en-GB"/>
              </w:rPr>
              <w:t>ndertaken and shall not exceed</w:t>
            </w:r>
            <w:r w:rsidRPr="00215827">
              <w:rPr>
                <w:rFonts w:eastAsia="Times New Roman" w:cs="Times New Roman"/>
                <w:lang w:eastAsia="en-GB"/>
              </w:rPr>
              <w:t xml:space="preserve">: </w:t>
            </w:r>
          </w:p>
          <w:p w:rsidR="00996C34" w:rsidRPr="00215827" w:rsidRDefault="00996C34" w:rsidP="00D84421">
            <w:pPr>
              <w:pStyle w:val="Nessunaspaziatura"/>
              <w:numPr>
                <w:ilvl w:val="0"/>
                <w:numId w:val="16"/>
              </w:numPr>
              <w:cnfStyle w:val="000000000000"/>
              <w:rPr>
                <w:rFonts w:eastAsia="Times New Roman" w:cs="Times New Roman"/>
                <w:lang w:eastAsia="en-GB"/>
              </w:rPr>
            </w:pPr>
            <w:r w:rsidRPr="00215827">
              <w:rPr>
                <w:rFonts w:eastAsia="Times New Roman" w:cs="Times New Roman"/>
                <w:lang w:eastAsia="en-GB"/>
              </w:rPr>
              <w:t>€20,000 if two categ</w:t>
            </w:r>
            <w:r w:rsidR="00D84421" w:rsidRPr="00215827">
              <w:rPr>
                <w:rFonts w:eastAsia="Times New Roman" w:cs="Times New Roman"/>
                <w:lang w:eastAsia="en-GB"/>
              </w:rPr>
              <w:t>ories of work are carried out and</w:t>
            </w:r>
            <w:r w:rsidRPr="00215827">
              <w:rPr>
                <w:rFonts w:eastAsia="Times New Roman" w:cs="Times New Roman"/>
                <w:lang w:eastAsia="en-GB"/>
              </w:rPr>
              <w:t xml:space="preserve"> with reimbursement within 10 years. </w:t>
            </w:r>
          </w:p>
          <w:p w:rsidR="00996C34" w:rsidRPr="00215827" w:rsidRDefault="00996C34" w:rsidP="00D84421">
            <w:pPr>
              <w:pStyle w:val="Nessunaspaziatura"/>
              <w:numPr>
                <w:ilvl w:val="0"/>
                <w:numId w:val="16"/>
              </w:numPr>
              <w:cnfStyle w:val="000000000000"/>
              <w:rPr>
                <w:rFonts w:eastAsia="Times New Roman" w:cs="Times New Roman"/>
                <w:lang w:eastAsia="en-GB"/>
              </w:rPr>
            </w:pPr>
            <w:r w:rsidRPr="00215827">
              <w:rPr>
                <w:rFonts w:eastAsia="Times New Roman" w:cs="Times New Roman"/>
                <w:lang w:eastAsia="en-GB"/>
              </w:rPr>
              <w:t>€30,000 if at least three categ</w:t>
            </w:r>
            <w:r w:rsidR="003D7EF9" w:rsidRPr="00215827">
              <w:rPr>
                <w:rFonts w:eastAsia="Times New Roman" w:cs="Times New Roman"/>
                <w:lang w:eastAsia="en-GB"/>
              </w:rPr>
              <w:t>ories of work are carried out</w:t>
            </w:r>
            <w:r w:rsidR="00D84421" w:rsidRPr="00215827">
              <w:rPr>
                <w:rFonts w:eastAsia="Times New Roman" w:cs="Times New Roman"/>
                <w:lang w:eastAsia="en-GB"/>
              </w:rPr>
              <w:t xml:space="preserve"> and </w:t>
            </w:r>
            <w:r w:rsidRPr="00215827">
              <w:rPr>
                <w:rFonts w:eastAsia="Times New Roman" w:cs="Times New Roman"/>
                <w:lang w:eastAsia="en-GB"/>
              </w:rPr>
              <w:t>with</w:t>
            </w:r>
            <w:r w:rsidR="003D7EF9" w:rsidRPr="00215827">
              <w:rPr>
                <w:rFonts w:eastAsia="Times New Roman" w:cs="Times New Roman"/>
                <w:lang w:eastAsia="en-GB"/>
              </w:rPr>
              <w:t xml:space="preserve"> reimbursement within 15 years</w:t>
            </w:r>
            <w:r w:rsidRPr="00215827">
              <w:rPr>
                <w:rFonts w:eastAsia="Times New Roman" w:cs="Times New Roman"/>
                <w:lang w:eastAsia="en-GB"/>
              </w:rPr>
              <w:t xml:space="preserve">. </w:t>
            </w:r>
          </w:p>
        </w:tc>
      </w:tr>
      <w:tr w:rsidR="009A0D02" w:rsidRPr="00215827" w:rsidTr="002B18D5">
        <w:trPr>
          <w:cantSplit/>
          <w:trHeight w:val="1035"/>
        </w:trPr>
        <w:tc>
          <w:tcPr>
            <w:cnfStyle w:val="001000000000"/>
            <w:tcW w:w="0" w:type="auto"/>
          </w:tcPr>
          <w:p w:rsidR="004D5A94" w:rsidRPr="00215827" w:rsidRDefault="004D5A94" w:rsidP="002B18D5">
            <w:pPr>
              <w:pStyle w:val="Nessunaspaziatura"/>
              <w:rPr>
                <w:rFonts w:eastAsia="Times New Roman" w:cs="Times New Roman"/>
                <w:bCs w:val="0"/>
                <w:lang w:eastAsia="en-GB"/>
              </w:rPr>
            </w:pPr>
            <w:r w:rsidRPr="00215827">
              <w:rPr>
                <w:rFonts w:eastAsia="Times New Roman" w:cs="Times New Roman"/>
                <w:lang w:eastAsia="en-GB"/>
              </w:rPr>
              <w:t>Tenders (Appels d´offres)</w:t>
            </w:r>
            <w:r w:rsidRPr="00215827">
              <w:rPr>
                <w:rStyle w:val="Rimandonotaapidipagina"/>
                <w:rFonts w:eastAsia="Times New Roman" w:cs="Times New Roman"/>
                <w:lang w:eastAsia="en-GB"/>
              </w:rPr>
              <w:footnoteReference w:id="12"/>
            </w:r>
            <w:r w:rsidRPr="00215827">
              <w:rPr>
                <w:rStyle w:val="Rimandonotaapidipagina"/>
                <w:rFonts w:eastAsia="Times New Roman" w:cs="Times New Roman"/>
                <w:lang w:eastAsia="en-GB"/>
              </w:rPr>
              <w:footnoteReference w:id="13"/>
            </w:r>
          </w:p>
          <w:p w:rsidR="004D5A94" w:rsidRPr="00215827" w:rsidRDefault="004D5A94" w:rsidP="002B18D5">
            <w:pPr>
              <w:pStyle w:val="Nessunaspaziatura"/>
              <w:rPr>
                <w:rFonts w:cs="Times New Roman"/>
              </w:rPr>
            </w:pPr>
          </w:p>
        </w:tc>
        <w:tc>
          <w:tcPr>
            <w:tcW w:w="0" w:type="auto"/>
          </w:tcPr>
          <w:p w:rsidR="004D5A94" w:rsidRPr="00215827" w:rsidRDefault="00982FF4" w:rsidP="002B18D5">
            <w:pPr>
              <w:pStyle w:val="Nessunaspaziatura"/>
              <w:cnfStyle w:val="000000000000"/>
              <w:rPr>
                <w:rFonts w:cs="Times New Roman"/>
              </w:rPr>
            </w:pPr>
            <w:r w:rsidRPr="00215827">
              <w:rPr>
                <w:rFonts w:cs="Times New Roman"/>
              </w:rPr>
              <w:t>Promotion of production of electricity from renewables</w:t>
            </w:r>
          </w:p>
        </w:tc>
        <w:tc>
          <w:tcPr>
            <w:tcW w:w="0" w:type="auto"/>
          </w:tcPr>
          <w:p w:rsidR="004D5A94" w:rsidRPr="00215827" w:rsidRDefault="004D5A94" w:rsidP="008439E7">
            <w:pPr>
              <w:pStyle w:val="Nessunaspaziatura"/>
              <w:cnfStyle w:val="000000000000"/>
            </w:pPr>
            <w:r w:rsidRPr="00215827">
              <w:t>A promotional tariff may be awarded to the winners of tenders for the construction of renewable energy plants</w:t>
            </w:r>
            <w:r w:rsidR="00116DD9" w:rsidRPr="00215827">
              <w:t xml:space="preserve"> (biomass and biogas among others)</w:t>
            </w:r>
            <w:r w:rsidRPr="00215827">
              <w:t xml:space="preserve">. </w:t>
            </w:r>
            <w:r w:rsidR="00D84421" w:rsidRPr="00215827">
              <w:t>Tenders are invited</w:t>
            </w:r>
            <w:r w:rsidRPr="00215827">
              <w:t xml:space="preserve"> at irregular intervals to reach the target production of electricity from renewable sources, which is specified in the multi-annual investment plant (</w:t>
            </w:r>
            <w:r w:rsidR="00116DD9" w:rsidRPr="00215827">
              <w:t>PPI)</w:t>
            </w:r>
            <w:r w:rsidRPr="00215827">
              <w:t>. The calls for tenders are published in the official gazette of the European Union.</w:t>
            </w:r>
          </w:p>
        </w:tc>
        <w:tc>
          <w:tcPr>
            <w:tcW w:w="0" w:type="auto"/>
          </w:tcPr>
          <w:p w:rsidR="004D5A94" w:rsidRPr="00215827" w:rsidRDefault="00116DD9" w:rsidP="002B18D5">
            <w:pPr>
              <w:pStyle w:val="Nessunaspaziatura"/>
              <w:cnfStyle w:val="000000000000"/>
              <w:rPr>
                <w:rFonts w:cs="Times New Roman"/>
              </w:rPr>
            </w:pPr>
            <w:r w:rsidRPr="00215827">
              <w:rPr>
                <w:rFonts w:cs="Times New Roman"/>
              </w:rPr>
              <w:t>The actual payment to be awarded is calculated in accordance with the successful tenderer's finance plan.</w:t>
            </w:r>
          </w:p>
        </w:tc>
      </w:tr>
      <w:tr w:rsidR="009A0D02" w:rsidRPr="00215827" w:rsidTr="002B18D5">
        <w:trPr>
          <w:cantSplit/>
          <w:trHeight w:val="1035"/>
        </w:trPr>
        <w:tc>
          <w:tcPr>
            <w:cnfStyle w:val="001000000000"/>
            <w:tcW w:w="0" w:type="auto"/>
          </w:tcPr>
          <w:p w:rsidR="00CB71EC" w:rsidRPr="00215827" w:rsidRDefault="00CB71EC" w:rsidP="002B18D5">
            <w:pPr>
              <w:pStyle w:val="Nessunaspaziatura"/>
            </w:pPr>
            <w:r w:rsidRPr="00215827">
              <w:t>The Heat Fund</w:t>
            </w:r>
            <w:r w:rsidR="00B5159D" w:rsidRPr="00215827">
              <w:t xml:space="preserve"> Biomass</w:t>
            </w:r>
            <w:r w:rsidR="00370526" w:rsidRPr="00215827">
              <w:t xml:space="preserve"> 2008</w:t>
            </w:r>
          </w:p>
          <w:p w:rsidR="00EE76FF" w:rsidRPr="00215827" w:rsidRDefault="00CB71EC" w:rsidP="002B18D5">
            <w:pPr>
              <w:pStyle w:val="Nessunaspaziatura"/>
            </w:pPr>
            <w:r w:rsidRPr="00215827">
              <w:t>(Fonds Chaleur)</w:t>
            </w:r>
            <w:r w:rsidRPr="00215827">
              <w:rPr>
                <w:vertAlign w:val="superscript"/>
              </w:rPr>
              <w:footnoteReference w:id="14"/>
            </w:r>
            <w:r w:rsidRPr="00215827">
              <w:t>,</w:t>
            </w:r>
            <w:r w:rsidRPr="00215827">
              <w:rPr>
                <w:vertAlign w:val="superscript"/>
              </w:rPr>
              <w:footnoteReference w:id="15"/>
            </w:r>
          </w:p>
        </w:tc>
        <w:tc>
          <w:tcPr>
            <w:tcW w:w="0" w:type="auto"/>
          </w:tcPr>
          <w:p w:rsidR="00370526" w:rsidRPr="00215827" w:rsidRDefault="007567AC" w:rsidP="002B18D5">
            <w:pPr>
              <w:pStyle w:val="Nessunaspaziatura"/>
              <w:cnfStyle w:val="000000000000"/>
              <w:rPr>
                <w:rFonts w:cs="Times New Roman"/>
              </w:rPr>
            </w:pPr>
            <w:r w:rsidRPr="00215827">
              <w:rPr>
                <w:rFonts w:cs="Times New Roman"/>
              </w:rPr>
              <w:t>S</w:t>
            </w:r>
            <w:r w:rsidR="00370526" w:rsidRPr="00215827">
              <w:rPr>
                <w:rFonts w:cs="Times New Roman"/>
              </w:rPr>
              <w:t>upport</w:t>
            </w:r>
            <w:r w:rsidRPr="00215827">
              <w:rPr>
                <w:rFonts w:cs="Times New Roman"/>
              </w:rPr>
              <w:t xml:space="preserve"> between 2009 and 2020</w:t>
            </w:r>
            <w:r w:rsidR="00370526" w:rsidRPr="00215827">
              <w:rPr>
                <w:rFonts w:cs="Times New Roman"/>
              </w:rPr>
              <w:t xml:space="preserve"> the production of renewable</w:t>
            </w:r>
          </w:p>
          <w:p w:rsidR="00CB71EC" w:rsidRPr="00215827" w:rsidRDefault="00370526" w:rsidP="00540E79">
            <w:pPr>
              <w:pStyle w:val="Nessunaspaziatura"/>
              <w:cnfStyle w:val="000000000000"/>
              <w:rPr>
                <w:rFonts w:cs="Times New Roman"/>
              </w:rPr>
            </w:pPr>
            <w:r w:rsidRPr="00215827">
              <w:rPr>
                <w:rFonts w:cs="Times New Roman"/>
              </w:rPr>
              <w:t>heat up to 5.5 Mtoe, or more than a quarter of the renewable energy production target set by the Grenelle Environment Forum.</w:t>
            </w:r>
          </w:p>
        </w:tc>
        <w:tc>
          <w:tcPr>
            <w:tcW w:w="0" w:type="auto"/>
          </w:tcPr>
          <w:p w:rsidR="007567AC" w:rsidRPr="00215827" w:rsidRDefault="00A9394D" w:rsidP="00A9394D">
            <w:pPr>
              <w:pStyle w:val="Nessunaspaziatura"/>
              <w:cnfStyle w:val="000000000000"/>
            </w:pPr>
            <w:r w:rsidRPr="00215827">
              <w:t>€</w:t>
            </w:r>
            <w:r w:rsidR="007567AC" w:rsidRPr="00215827">
              <w:t xml:space="preserve">1.2 bn fund between 2009-2013 </w:t>
            </w:r>
            <w:r w:rsidR="00540E79" w:rsidRPr="00215827">
              <w:t xml:space="preserve">is </w:t>
            </w:r>
            <w:r w:rsidR="00883F3D" w:rsidRPr="00215827">
              <w:t xml:space="preserve">available for the </w:t>
            </w:r>
            <w:r w:rsidR="007567AC" w:rsidRPr="00215827">
              <w:t>develop</w:t>
            </w:r>
            <w:r w:rsidR="00883F3D" w:rsidRPr="00215827">
              <w:t xml:space="preserve">ment of large scale projects (over 1,000 toe/yr) for </w:t>
            </w:r>
            <w:r w:rsidR="007567AC" w:rsidRPr="00215827">
              <w:t>production of heat in services, agriculture, and industrial sectors through biomass plants.</w:t>
            </w:r>
          </w:p>
        </w:tc>
        <w:tc>
          <w:tcPr>
            <w:tcW w:w="0" w:type="auto"/>
          </w:tcPr>
          <w:p w:rsidR="00CB71EC" w:rsidRPr="00215827" w:rsidRDefault="007567AC" w:rsidP="002B18D5">
            <w:pPr>
              <w:pStyle w:val="Nessunaspaziatura"/>
              <w:cnfStyle w:val="000000000000"/>
            </w:pPr>
            <w:r w:rsidRPr="00215827">
              <w:t>The payment to be awarded is calculated in accordance with the successful tenderer's finance plan and with consideration of the relation between the amount of support asked for and the amount of renewable heat produced.</w:t>
            </w:r>
          </w:p>
        </w:tc>
      </w:tr>
      <w:tr w:rsidR="009A0D02" w:rsidRPr="00215827" w:rsidTr="002B18D5">
        <w:trPr>
          <w:cantSplit/>
          <w:trHeight w:val="274"/>
        </w:trPr>
        <w:tc>
          <w:tcPr>
            <w:cnfStyle w:val="001000000000"/>
            <w:tcW w:w="0" w:type="auto"/>
          </w:tcPr>
          <w:p w:rsidR="00CB71EC" w:rsidRPr="00215827" w:rsidRDefault="00CB71EC" w:rsidP="002B18D5">
            <w:pPr>
              <w:pStyle w:val="Nessunaspaziatura"/>
            </w:pPr>
            <w:r w:rsidRPr="00215827">
              <w:lastRenderedPageBreak/>
              <w:t>Purchase of Injected Biogas (2010)</w:t>
            </w:r>
            <w:r w:rsidR="00EC114B" w:rsidRPr="00215827">
              <w:rPr>
                <w:rStyle w:val="Rimandonotaapidipagina"/>
              </w:rPr>
              <w:footnoteReference w:id="16"/>
            </w:r>
          </w:p>
        </w:tc>
        <w:tc>
          <w:tcPr>
            <w:tcW w:w="0" w:type="auto"/>
          </w:tcPr>
          <w:p w:rsidR="00CB71EC" w:rsidRPr="00215827" w:rsidRDefault="00CB71EC" w:rsidP="002B18D5">
            <w:pPr>
              <w:pStyle w:val="Nessunaspaziatura"/>
              <w:cnfStyle w:val="000000000000"/>
            </w:pPr>
            <w:r w:rsidRPr="00215827">
              <w:t xml:space="preserve">Aims to increase biomethane injection into the grid stimulating heat, electricity and biofuels production. </w:t>
            </w:r>
          </w:p>
        </w:tc>
        <w:tc>
          <w:tcPr>
            <w:tcW w:w="0" w:type="auto"/>
          </w:tcPr>
          <w:p w:rsidR="00A9275D" w:rsidRPr="00215827" w:rsidRDefault="00A9394D" w:rsidP="002B18D5">
            <w:pPr>
              <w:pStyle w:val="Nessunaspaziatura"/>
              <w:cnfStyle w:val="000000000000"/>
            </w:pPr>
            <w:r w:rsidRPr="00215827">
              <w:t>€</w:t>
            </w:r>
            <w:r w:rsidR="00B75D81" w:rsidRPr="00215827">
              <w:t xml:space="preserve">200M per year has been set aside </w:t>
            </w:r>
            <w:r w:rsidRPr="00215827">
              <w:t>for</w:t>
            </w:r>
            <w:r w:rsidR="00B75D81" w:rsidRPr="00215827">
              <w:t xml:space="preserve"> 2020. </w:t>
            </w:r>
            <w:r w:rsidR="00CB71EC" w:rsidRPr="00215827">
              <w:t xml:space="preserve">Gas suppliers </w:t>
            </w:r>
            <w:r w:rsidR="00D56BB1" w:rsidRPr="00215827">
              <w:t>premium tariffs for</w:t>
            </w:r>
            <w:r w:rsidR="00271222" w:rsidRPr="00215827">
              <w:t xml:space="preserve"> biomethane</w:t>
            </w:r>
            <w:r w:rsidR="00CB71EC" w:rsidRPr="00215827">
              <w:t xml:space="preserve"> injected into natural gas grids</w:t>
            </w:r>
            <w:r w:rsidR="00A9275D" w:rsidRPr="00215827">
              <w:t xml:space="preserve">: </w:t>
            </w:r>
          </w:p>
          <w:p w:rsidR="001E41EB" w:rsidRPr="00215827" w:rsidRDefault="00A9275D" w:rsidP="00D56BB1">
            <w:pPr>
              <w:pStyle w:val="Nessunaspaziatura"/>
              <w:cnfStyle w:val="000000000000"/>
            </w:pPr>
            <w:r w:rsidRPr="00215827">
              <w:t>- For installations of less than 12 MWe cogeneration, there are feed-in tariffs regulated.</w:t>
            </w:r>
          </w:p>
          <w:p w:rsidR="001E41EB" w:rsidRPr="00215827" w:rsidRDefault="00A9275D" w:rsidP="00D56BB1">
            <w:pPr>
              <w:pStyle w:val="Nessunaspaziatura"/>
              <w:cnfStyle w:val="000000000000"/>
            </w:pPr>
            <w:r w:rsidRPr="00215827">
              <w:t xml:space="preserve">- Facilities that </w:t>
            </w:r>
            <w:r w:rsidR="00D56BB1" w:rsidRPr="00215827">
              <w:t>produce</w:t>
            </w:r>
            <w:r w:rsidRPr="00215827">
              <w:t xml:space="preserve"> biomethane </w:t>
            </w:r>
            <w:r w:rsidR="00D56BB1" w:rsidRPr="00215827">
              <w:t>and inject</w:t>
            </w:r>
            <w:r w:rsidRPr="00215827">
              <w:t xml:space="preserve"> into the network can </w:t>
            </w:r>
            <w:r w:rsidR="00D56BB1" w:rsidRPr="00215827">
              <w:t xml:space="preserve">by November 2011 </w:t>
            </w:r>
            <w:r w:rsidR="001E41EB" w:rsidRPr="00215827">
              <w:t>purchase a guaranteed tariff.</w:t>
            </w:r>
          </w:p>
          <w:p w:rsidR="00A9275D" w:rsidRPr="00215827" w:rsidRDefault="00A9275D" w:rsidP="00D56BB1">
            <w:pPr>
              <w:pStyle w:val="Nessunaspaziatura"/>
              <w:cnfStyle w:val="000000000000"/>
            </w:pPr>
            <w:r w:rsidRPr="00215827">
              <w:t xml:space="preserve">- For installations combining </w:t>
            </w:r>
            <w:r w:rsidRPr="00215827">
              <w:rPr>
                <w:bCs/>
              </w:rPr>
              <w:t>cogeneration and injection,</w:t>
            </w:r>
            <w:r w:rsidRPr="00215827">
              <w:t xml:space="preserve"> there is a purchase price</w:t>
            </w:r>
            <w:r w:rsidR="00D56BB1" w:rsidRPr="00215827">
              <w:t>, called price "double recovery."</w:t>
            </w:r>
          </w:p>
          <w:p w:rsidR="00A9275D" w:rsidRPr="00215827" w:rsidRDefault="00D56BB1" w:rsidP="00D56BB1">
            <w:pPr>
              <w:pStyle w:val="Nessunaspaziatura"/>
              <w:cnfStyle w:val="000000000000"/>
            </w:pPr>
            <w:r w:rsidRPr="00215827">
              <w:t>- Separate</w:t>
            </w:r>
            <w:r w:rsidR="00A9275D" w:rsidRPr="00215827">
              <w:rPr>
                <w:bCs/>
              </w:rPr>
              <w:t xml:space="preserve">aid </w:t>
            </w:r>
            <w:r w:rsidRPr="00215827">
              <w:rPr>
                <w:bCs/>
              </w:rPr>
              <w:t>that is fixed at the territorial level:</w:t>
            </w:r>
            <w:r w:rsidRPr="00215827">
              <w:t>Funding</w:t>
            </w:r>
            <w:r w:rsidR="00A9275D" w:rsidRPr="00215827">
              <w:t xml:space="preserve"> supplement, if necessary, for biogas projects </w:t>
            </w:r>
            <w:r w:rsidRPr="00215827">
              <w:t>and</w:t>
            </w:r>
            <w:r w:rsidR="00B75D81" w:rsidRPr="00215827">
              <w:t xml:space="preserve">project </w:t>
            </w:r>
            <w:r w:rsidR="00A9275D" w:rsidRPr="00215827">
              <w:t>guid</w:t>
            </w:r>
            <w:r w:rsidRPr="00215827">
              <w:t>ance</w:t>
            </w:r>
            <w:r w:rsidR="00A9275D" w:rsidRPr="00215827">
              <w:t xml:space="preserve"> to the most attractive valuations. </w:t>
            </w:r>
          </w:p>
        </w:tc>
        <w:tc>
          <w:tcPr>
            <w:tcW w:w="0" w:type="auto"/>
          </w:tcPr>
          <w:p w:rsidR="00A9275D" w:rsidRPr="00215827" w:rsidRDefault="00CB71EC" w:rsidP="002B18D5">
            <w:pPr>
              <w:pStyle w:val="Nessunaspaziatura"/>
              <w:cnfStyle w:val="000000000000"/>
            </w:pPr>
            <w:r w:rsidRPr="00215827">
              <w:t xml:space="preserve">Tariffs </w:t>
            </w:r>
            <w:r w:rsidR="00B75D81" w:rsidRPr="00215827">
              <w:t>depend on</w:t>
            </w:r>
            <w:r w:rsidRPr="00215827">
              <w:t xml:space="preserve"> installation size and </w:t>
            </w:r>
            <w:r w:rsidR="00B75D81" w:rsidRPr="00215827">
              <w:t>feedstock</w:t>
            </w:r>
            <w:r w:rsidRPr="00215827">
              <w:t xml:space="preserve"> used to produce the biomethane.  </w:t>
            </w:r>
          </w:p>
          <w:p w:rsidR="00A9275D" w:rsidRPr="00215827" w:rsidRDefault="00B75D81" w:rsidP="002B18D5">
            <w:pPr>
              <w:pStyle w:val="Nessunaspaziatura"/>
              <w:cnfStyle w:val="000000000000"/>
            </w:pPr>
            <w:r w:rsidRPr="00215827">
              <w:t xml:space="preserve">Non-hazardous waste </w:t>
            </w:r>
            <w:r w:rsidR="00A9275D" w:rsidRPr="00215827">
              <w:t>facilities</w:t>
            </w:r>
            <w:r w:rsidRPr="00215827">
              <w:t xml:space="preserve"> may</w:t>
            </w:r>
            <w:r w:rsidR="00A9275D" w:rsidRPr="00215827">
              <w:t xml:space="preserve"> purchase rates </w:t>
            </w:r>
            <w:r w:rsidRPr="00215827">
              <w:t xml:space="preserve"> for injected  </w:t>
            </w:r>
            <w:r w:rsidR="00A9275D" w:rsidRPr="00215827">
              <w:t>biom</w:t>
            </w:r>
            <w:r w:rsidRPr="00215827">
              <w:t>e</w:t>
            </w:r>
            <w:r w:rsidR="00A9394D" w:rsidRPr="00215827">
              <w:t>t</w:t>
            </w:r>
            <w:r w:rsidRPr="00215827">
              <w:t xml:space="preserve">hane </w:t>
            </w:r>
            <w:r w:rsidR="00A9275D" w:rsidRPr="00215827">
              <w:t>b</w:t>
            </w:r>
            <w:r w:rsidRPr="00215827">
              <w:t>etween 4.5 and 9.5 c€</w:t>
            </w:r>
            <w:r w:rsidR="00A9275D" w:rsidRPr="00215827">
              <w:t xml:space="preserve">/kWh depending on the size of the installation. </w:t>
            </w:r>
          </w:p>
          <w:p w:rsidR="00F13BD6" w:rsidRPr="00215827" w:rsidRDefault="00B75D81" w:rsidP="002B18D5">
            <w:pPr>
              <w:pStyle w:val="Nessunaspaziatura"/>
              <w:cnfStyle w:val="000000000000"/>
            </w:pPr>
            <w:r w:rsidRPr="00215827">
              <w:t xml:space="preserve">Other biogas plants’ </w:t>
            </w:r>
            <w:r w:rsidR="00A9275D" w:rsidRPr="00215827">
              <w:t>purchase</w:t>
            </w:r>
            <w:r w:rsidRPr="00215827">
              <w:t xml:space="preserve"> rates of injected </w:t>
            </w:r>
            <w:r w:rsidR="00A9275D" w:rsidRPr="00215827">
              <w:t>biomethane consist</w:t>
            </w:r>
            <w:r w:rsidRPr="00215827">
              <w:t xml:space="preserve"> of a base rate between 6.4-</w:t>
            </w:r>
            <w:r w:rsidR="00A9275D" w:rsidRPr="00215827">
              <w:t>9.5</w:t>
            </w:r>
            <w:r w:rsidRPr="00215827">
              <w:t> </w:t>
            </w:r>
            <w:r w:rsidR="00A9275D" w:rsidRPr="00215827">
              <w:t>c€</w:t>
            </w:r>
            <w:r w:rsidRPr="00215827">
              <w:t>/</w:t>
            </w:r>
            <w:r w:rsidR="00A9275D" w:rsidRPr="00215827">
              <w:t xml:space="preserve">kWh depending on the size of the facility, which may be added a premium calculated according to the nature of the </w:t>
            </w:r>
            <w:r w:rsidRPr="00215827">
              <w:t>feedstock</w:t>
            </w:r>
            <w:r w:rsidR="00F13BD6" w:rsidRPr="00215827">
              <w:t xml:space="preserve">(input) </w:t>
            </w:r>
            <w:r w:rsidR="00A9275D" w:rsidRPr="00215827">
              <w:t xml:space="preserve">processed by anaerobic digestion </w:t>
            </w:r>
            <w:r w:rsidRPr="00215827">
              <w:t>used. This premium is between 2-3 c€/</w:t>
            </w:r>
            <w:r w:rsidR="00A9275D" w:rsidRPr="00215827">
              <w:t>kWh</w:t>
            </w:r>
            <w:r w:rsidR="00F13BD6" w:rsidRPr="00215827">
              <w:t>,</w:t>
            </w:r>
            <w:r w:rsidR="00A9275D" w:rsidRPr="00215827">
              <w:t xml:space="preserve"> if the </w:t>
            </w:r>
            <w:r w:rsidR="00F13BD6" w:rsidRPr="00215827">
              <w:t>input is</w:t>
            </w:r>
            <w:r w:rsidR="00A9275D" w:rsidRPr="00215827">
              <w:t xml:space="preserve"> waste products from agricultu</w:t>
            </w:r>
            <w:r w:rsidRPr="00215827">
              <w:t>reor agribusiness</w:t>
            </w:r>
            <w:r w:rsidR="00F13BD6" w:rsidRPr="00215827">
              <w:t xml:space="preserve">, or it </w:t>
            </w:r>
            <w:r w:rsidRPr="00215827">
              <w:t>is 0.5 c€</w:t>
            </w:r>
            <w:r w:rsidR="00A9275D" w:rsidRPr="00215827">
              <w:t>/kWh</w:t>
            </w:r>
            <w:r w:rsidR="00F13BD6" w:rsidRPr="00215827">
              <w:t>,</w:t>
            </w:r>
            <w:r w:rsidR="001E41EB" w:rsidRPr="00215827">
              <w:t xml:space="preserve"> if the</w:t>
            </w:r>
            <w:r w:rsidR="00F13BD6" w:rsidRPr="00215827">
              <w:t xml:space="preserve">input </w:t>
            </w:r>
            <w:r w:rsidR="00A9275D" w:rsidRPr="00215827">
              <w:t xml:space="preserve">household waste. </w:t>
            </w:r>
          </w:p>
          <w:p w:rsidR="00CB71EC" w:rsidRPr="00215827" w:rsidRDefault="00A9275D" w:rsidP="002B18D5">
            <w:pPr>
              <w:pStyle w:val="Nessunaspaziatura"/>
              <w:cnfStyle w:val="000000000000"/>
            </w:pPr>
            <w:r w:rsidRPr="00215827">
              <w:t xml:space="preserve">When inputs are "mixed" (co-digestion), the premium is weighted prorated amounts of inputs used by the installation. </w:t>
            </w:r>
          </w:p>
        </w:tc>
      </w:tr>
      <w:tr w:rsidR="009A0D02" w:rsidRPr="00215827" w:rsidTr="002B18D5">
        <w:trPr>
          <w:cantSplit/>
          <w:trHeight w:val="685"/>
        </w:trPr>
        <w:tc>
          <w:tcPr>
            <w:cnfStyle w:val="001000000000"/>
            <w:tcW w:w="0" w:type="auto"/>
          </w:tcPr>
          <w:p w:rsidR="00CB71EC" w:rsidRPr="00215827" w:rsidRDefault="00CB71EC" w:rsidP="002B18D5">
            <w:pPr>
              <w:pStyle w:val="Nessunaspaziatura"/>
              <w:rPr>
                <w:lang w:val="fr-BE"/>
              </w:rPr>
            </w:pPr>
            <w:r w:rsidRPr="00215827">
              <w:rPr>
                <w:lang w:val="fr-BE"/>
              </w:rPr>
              <w:lastRenderedPageBreak/>
              <w:t xml:space="preserve">Energy Performance Plan </w:t>
            </w:r>
            <w:r w:rsidR="00ED2480" w:rsidRPr="00215827">
              <w:rPr>
                <w:lang w:val="fr-BE"/>
              </w:rPr>
              <w:t>for farms</w:t>
            </w:r>
            <w:r w:rsidR="00E96C55" w:rsidRPr="00215827">
              <w:rPr>
                <w:lang w:val="fr-BE"/>
              </w:rPr>
              <w:t xml:space="preserve">(EPP) - </w:t>
            </w:r>
            <w:r w:rsidRPr="00215827">
              <w:rPr>
                <w:lang w:val="fr-BE"/>
              </w:rPr>
              <w:t>Plan de Performance Énergétique (PPE)</w:t>
            </w:r>
            <w:r w:rsidR="00E96C55" w:rsidRPr="00215827">
              <w:rPr>
                <w:rStyle w:val="Rimandonotaapidipagina"/>
                <w:lang w:val="fr-BE"/>
              </w:rPr>
              <w:footnoteReference w:id="17"/>
            </w:r>
            <w:r w:rsidR="00217F4A" w:rsidRPr="00215827">
              <w:rPr>
                <w:lang w:val="fr-BE"/>
              </w:rPr>
              <w:t xml:space="preserve"> 2009-2013</w:t>
            </w:r>
          </w:p>
        </w:tc>
        <w:tc>
          <w:tcPr>
            <w:tcW w:w="0" w:type="auto"/>
          </w:tcPr>
          <w:p w:rsidR="00CB71EC" w:rsidRPr="00215827" w:rsidRDefault="00B11C38" w:rsidP="00112069">
            <w:pPr>
              <w:pStyle w:val="Nessunaspaziatura"/>
              <w:cnfStyle w:val="000000000000"/>
            </w:pPr>
            <w:r w:rsidRPr="00215827">
              <w:t xml:space="preserve">Reduction of GHG emissions </w:t>
            </w:r>
            <w:r w:rsidR="00112069" w:rsidRPr="00215827">
              <w:t xml:space="preserve">from </w:t>
            </w:r>
            <w:r w:rsidRPr="00215827">
              <w:t xml:space="preserve">farms through </w:t>
            </w:r>
            <w:r w:rsidR="00CB71EC" w:rsidRPr="00215827">
              <w:t>increase</w:t>
            </w:r>
            <w:r w:rsidRPr="00215827">
              <w:t xml:space="preserve"> of</w:t>
            </w:r>
            <w:r w:rsidR="00CB71EC" w:rsidRPr="00215827">
              <w:t xml:space="preserve"> energy generation on farm</w:t>
            </w:r>
            <w:r w:rsidRPr="00215827">
              <w:t xml:space="preserve"> from renewables and reduction(direct and indirect) of </w:t>
            </w:r>
            <w:r w:rsidR="00CB71EC" w:rsidRPr="00215827">
              <w:t>energy consumption</w:t>
            </w:r>
            <w:r w:rsidRPr="00215827">
              <w:t>,</w:t>
            </w:r>
            <w:r w:rsidR="00CB71EC" w:rsidRPr="00215827">
              <w:t xml:space="preserve"> so that 30% of agricultural enterprises should be low energy by 2013.</w:t>
            </w:r>
          </w:p>
        </w:tc>
        <w:tc>
          <w:tcPr>
            <w:tcW w:w="0" w:type="auto"/>
          </w:tcPr>
          <w:p w:rsidR="00DA57F9" w:rsidRPr="00215827" w:rsidRDefault="00DA57F9" w:rsidP="000B5D6C">
            <w:pPr>
              <w:pStyle w:val="Nessunaspaziatura"/>
              <w:cnfStyle w:val="000000000000"/>
              <w:rPr>
                <w:rFonts w:cs="Times New Roman"/>
              </w:rPr>
            </w:pPr>
            <w:r w:rsidRPr="00215827">
              <w:rPr>
                <w:rFonts w:cs="Times New Roman"/>
              </w:rPr>
              <w:t>The area 5 of the program</w:t>
            </w:r>
            <w:r w:rsidR="00B11C38" w:rsidRPr="00215827">
              <w:rPr>
                <w:rFonts w:cs="Times New Roman"/>
              </w:rPr>
              <w:t xml:space="preserve"> that</w:t>
            </w:r>
            <w:r w:rsidRPr="00215827">
              <w:rPr>
                <w:rFonts w:cs="Times New Roman"/>
              </w:rPr>
              <w:t xml:space="preserve"> promotes the production of renewable energy provides for aid forinvestments for the installation ofsolar water heaters, biomass boilers, thermal exchangers andheat pumps, and for </w:t>
            </w:r>
            <w:r w:rsidR="000B5D6C" w:rsidRPr="00215827">
              <w:rPr>
                <w:rFonts w:cs="Times New Roman"/>
              </w:rPr>
              <w:t>AD</w:t>
            </w:r>
            <w:r w:rsidRPr="00215827">
              <w:rPr>
                <w:rFonts w:cs="Times New Roman"/>
              </w:rPr>
              <w:t xml:space="preserve"> units and equipment linked to the production of electricityon an isolated site not connected to the network</w:t>
            </w:r>
            <w:r w:rsidR="00E96C55" w:rsidRPr="00215827">
              <w:rPr>
                <w:rFonts w:cs="Times New Roman"/>
              </w:rPr>
              <w:t>,</w:t>
            </w:r>
            <w:r w:rsidR="009A0D02" w:rsidRPr="00215827">
              <w:rPr>
                <w:rFonts w:cs="Times New Roman"/>
              </w:rPr>
              <w:t xml:space="preserve"> or linked to the </w:t>
            </w:r>
            <w:r w:rsidR="00B11C38" w:rsidRPr="00215827">
              <w:rPr>
                <w:rFonts w:cs="Times New Roman"/>
              </w:rPr>
              <w:t>production of electricity on an isolated site not connected to the network.</w:t>
            </w:r>
          </w:p>
        </w:tc>
        <w:tc>
          <w:tcPr>
            <w:tcW w:w="0" w:type="auto"/>
          </w:tcPr>
          <w:p w:rsidR="00E96C55" w:rsidRPr="00215827" w:rsidRDefault="00CB71EC" w:rsidP="002B18D5">
            <w:pPr>
              <w:pStyle w:val="Nessunaspaziatura"/>
              <w:cnfStyle w:val="000000000000"/>
            </w:pPr>
            <w:r w:rsidRPr="00215827">
              <w:t xml:space="preserve">Investment in AD units is limited to </w:t>
            </w:r>
            <w:r w:rsidR="00F046F6" w:rsidRPr="00215827">
              <w:t>€500,000</w:t>
            </w:r>
            <w:r w:rsidR="00C0753B" w:rsidRPr="00215827">
              <w:t>.</w:t>
            </w:r>
          </w:p>
          <w:p w:rsidR="00CB71EC" w:rsidRPr="00215827" w:rsidRDefault="00E96C55" w:rsidP="000B5D6C">
            <w:pPr>
              <w:pStyle w:val="Nessunaspaziatura"/>
              <w:cnfStyle w:val="000000000000"/>
              <w:rPr>
                <w:rFonts w:cs="Times New Roman"/>
              </w:rPr>
            </w:pPr>
            <w:r w:rsidRPr="00215827">
              <w:rPr>
                <w:rFonts w:cs="Times New Roman"/>
              </w:rPr>
              <w:t>The energy performance plan has a budget for 2009 of €</w:t>
            </w:r>
            <w:r w:rsidR="00C0753B" w:rsidRPr="00215827">
              <w:rPr>
                <w:rFonts w:cs="Times New Roman"/>
              </w:rPr>
              <w:t>35 million</w:t>
            </w:r>
            <w:r w:rsidRPr="00215827">
              <w:rPr>
                <w:rFonts w:cs="Times New Roman"/>
              </w:rPr>
              <w:t xml:space="preserve">. </w:t>
            </w:r>
            <w:r w:rsidR="00CB71EC" w:rsidRPr="00215827">
              <w:t>A further</w:t>
            </w:r>
            <w:r w:rsidR="00C0753B" w:rsidRPr="00215827">
              <w:t>€7 million</w:t>
            </w:r>
            <w:r w:rsidR="00CB71EC" w:rsidRPr="00215827">
              <w:t xml:space="preserve"> was r</w:t>
            </w:r>
            <w:r w:rsidR="000B5D6C" w:rsidRPr="00215827">
              <w:t>eleased for AD projects in 2010.</w:t>
            </w:r>
          </w:p>
        </w:tc>
      </w:tr>
      <w:tr w:rsidR="009A0D02" w:rsidRPr="00215827" w:rsidTr="002B18D5">
        <w:trPr>
          <w:cantSplit/>
          <w:trHeight w:val="685"/>
        </w:trPr>
        <w:tc>
          <w:tcPr>
            <w:cnfStyle w:val="001000000000"/>
            <w:tcW w:w="0" w:type="auto"/>
          </w:tcPr>
          <w:p w:rsidR="00AF57A9" w:rsidRPr="00215827" w:rsidRDefault="00AF57A9" w:rsidP="002B18D5">
            <w:pPr>
              <w:pStyle w:val="Nessunaspaziatura"/>
              <w:rPr>
                <w:rFonts w:cs="Times New Roman"/>
              </w:rPr>
            </w:pPr>
            <w:r w:rsidRPr="00215827">
              <w:rPr>
                <w:rFonts w:cs="Times New Roman"/>
              </w:rPr>
              <w:t>Support plan</w:t>
            </w:r>
          </w:p>
          <w:p w:rsidR="00AF57A9" w:rsidRPr="00215827" w:rsidRDefault="00AF57A9" w:rsidP="002B18D5">
            <w:pPr>
              <w:pStyle w:val="Nessunaspaziatura"/>
            </w:pPr>
            <w:r w:rsidRPr="00215827">
              <w:rPr>
                <w:rFonts w:cs="Times New Roman"/>
              </w:rPr>
              <w:t>for waste policies (ADEME) for the development of methanisation facilities</w:t>
            </w:r>
          </w:p>
        </w:tc>
        <w:tc>
          <w:tcPr>
            <w:tcW w:w="0" w:type="auto"/>
          </w:tcPr>
          <w:p w:rsidR="00AF57A9" w:rsidRPr="00215827" w:rsidRDefault="00862288" w:rsidP="00CA15B3">
            <w:pPr>
              <w:pStyle w:val="Nessunaspaziatura"/>
              <w:cnfStyle w:val="000000000000"/>
            </w:pPr>
            <w:r w:rsidRPr="00215827">
              <w:rPr>
                <w:rFonts w:cs="Times New Roman"/>
              </w:rPr>
              <w:t>In line with the</w:t>
            </w:r>
            <w:r w:rsidR="0057155D" w:rsidRPr="00215827">
              <w:rPr>
                <w:rFonts w:cs="Times New Roman"/>
              </w:rPr>
              <w:t xml:space="preserve"> priorities of the Grenelle Environment Forum to move </w:t>
            </w:r>
            <w:r w:rsidR="00CA15B3" w:rsidRPr="00215827">
              <w:rPr>
                <w:rFonts w:cs="Times New Roman"/>
              </w:rPr>
              <w:t>from landfills of wastes towards material and organic recycling: Fr</w:t>
            </w:r>
            <w:r w:rsidR="0057155D" w:rsidRPr="00215827">
              <w:rPr>
                <w:rFonts w:cs="Times New Roman"/>
              </w:rPr>
              <w:t>om24% of household and similar waste to 35% in</w:t>
            </w:r>
            <w:r w:rsidR="00CA15B3" w:rsidRPr="00215827">
              <w:rPr>
                <w:rFonts w:cs="Times New Roman"/>
              </w:rPr>
              <w:t xml:space="preserve"> 2012, and then to 45% in 2015</w:t>
            </w:r>
            <w:r w:rsidR="0057155D" w:rsidRPr="00215827">
              <w:rPr>
                <w:rFonts w:cs="Times New Roman"/>
              </w:rPr>
              <w:t>.</w:t>
            </w:r>
          </w:p>
        </w:tc>
        <w:tc>
          <w:tcPr>
            <w:tcW w:w="0" w:type="auto"/>
          </w:tcPr>
          <w:p w:rsidR="0057155D" w:rsidRPr="00215827" w:rsidRDefault="0057155D" w:rsidP="002B18D5">
            <w:pPr>
              <w:pStyle w:val="Nessunaspaziatura"/>
              <w:cnfStyle w:val="000000000000"/>
              <w:rPr>
                <w:rFonts w:cs="Times New Roman"/>
              </w:rPr>
            </w:pPr>
            <w:r w:rsidRPr="00215827">
              <w:rPr>
                <w:rFonts w:cs="Times New Roman"/>
              </w:rPr>
              <w:t xml:space="preserve">Support for </w:t>
            </w:r>
            <w:r w:rsidR="00B94991" w:rsidRPr="00215827">
              <w:rPr>
                <w:rFonts w:cs="Times New Roman"/>
              </w:rPr>
              <w:t>AD projectsis provided in particular through</w:t>
            </w:r>
            <w:r w:rsidRPr="00215827">
              <w:rPr>
                <w:rFonts w:cs="Times New Roman"/>
              </w:rPr>
              <w:t xml:space="preserve"> evaluation of existing units, in particular by their environmental, energy and sanitaryperformance,</w:t>
            </w:r>
            <w:r w:rsidR="000B653C" w:rsidRPr="00215827">
              <w:rPr>
                <w:rFonts w:cs="Times New Roman"/>
              </w:rPr>
              <w:t xml:space="preserve"> and by</w:t>
            </w:r>
            <w:r w:rsidRPr="00215827">
              <w:rPr>
                <w:rFonts w:cs="Times New Roman"/>
              </w:rPr>
              <w:t xml:space="preserve"> technical and financial support for operations exemplifying the methanisation of biowaste or agricultural effluent.</w:t>
            </w:r>
          </w:p>
          <w:p w:rsidR="0057155D" w:rsidRPr="00215827" w:rsidRDefault="00B94991" w:rsidP="002B18D5">
            <w:pPr>
              <w:pStyle w:val="Nessunaspaziatura"/>
              <w:cnfStyle w:val="000000000000"/>
              <w:rPr>
                <w:rFonts w:cs="Times New Roman"/>
              </w:rPr>
            </w:pPr>
            <w:r w:rsidRPr="00215827">
              <w:rPr>
                <w:rFonts w:cs="Times New Roman"/>
              </w:rPr>
              <w:t>O</w:t>
            </w:r>
            <w:r w:rsidR="0057155D" w:rsidRPr="00215827">
              <w:rPr>
                <w:rFonts w:cs="Times New Roman"/>
              </w:rPr>
              <w:t>nly the "biogas production" aspect will be taken into account in the aid</w:t>
            </w:r>
            <w:r w:rsidRPr="00215827">
              <w:rPr>
                <w:rFonts w:cs="Times New Roman"/>
              </w:rPr>
              <w:t xml:space="preserve"> assessment (not the recovery of biogas).</w:t>
            </w:r>
          </w:p>
        </w:tc>
        <w:tc>
          <w:tcPr>
            <w:tcW w:w="0" w:type="auto"/>
          </w:tcPr>
          <w:p w:rsidR="00AF57A9" w:rsidRPr="00215827" w:rsidRDefault="0057155D" w:rsidP="00A94271">
            <w:pPr>
              <w:pStyle w:val="Nessunaspaziatura"/>
              <w:cnfStyle w:val="000000000000"/>
            </w:pPr>
            <w:r w:rsidRPr="00215827">
              <w:rPr>
                <w:rFonts w:cs="Times New Roman"/>
              </w:rPr>
              <w:t xml:space="preserve">In this context, </w:t>
            </w:r>
            <w:r w:rsidR="000B5D6C" w:rsidRPr="00215827">
              <w:rPr>
                <w:rFonts w:cs="Times New Roman"/>
              </w:rPr>
              <w:t>AD</w:t>
            </w:r>
            <w:r w:rsidRPr="00215827">
              <w:rPr>
                <w:rFonts w:cs="Times New Roman"/>
              </w:rPr>
              <w:t xml:space="preserve"> equipment may benefit from an aid of 30% maximum, calculated from an assessment basis of the amount of the operation with a ceiling of € 10 </w:t>
            </w:r>
            <w:r w:rsidR="00A94271" w:rsidRPr="00215827">
              <w:rPr>
                <w:rFonts w:cs="Times New Roman"/>
              </w:rPr>
              <w:t>million</w:t>
            </w:r>
            <w:r w:rsidRPr="00215827">
              <w:rPr>
                <w:rFonts w:cs="Times New Roman"/>
              </w:rPr>
              <w:t xml:space="preserve"> before tax. </w:t>
            </w:r>
          </w:p>
        </w:tc>
      </w:tr>
    </w:tbl>
    <w:p w:rsidR="00862288" w:rsidRPr="00215827" w:rsidRDefault="00862288" w:rsidP="002B18D5">
      <w:pPr>
        <w:pStyle w:val="Titolo1"/>
      </w:pPr>
    </w:p>
    <w:p w:rsidR="00112069" w:rsidRPr="00215827" w:rsidRDefault="00112069" w:rsidP="00222016"/>
    <w:p w:rsidR="00112069" w:rsidRPr="00215827" w:rsidRDefault="00112069" w:rsidP="00222016"/>
    <w:p w:rsidR="00112069" w:rsidRPr="00215827" w:rsidRDefault="00112069" w:rsidP="00222016"/>
    <w:p w:rsidR="00CB71EC" w:rsidRPr="00215827" w:rsidRDefault="00CB71EC" w:rsidP="002B18D5">
      <w:pPr>
        <w:pStyle w:val="Titolo1"/>
      </w:pPr>
      <w:r w:rsidRPr="00215827">
        <w:t>Biofuels</w:t>
      </w:r>
    </w:p>
    <w:tbl>
      <w:tblPr>
        <w:tblStyle w:val="Sfondomedio1-Colore2"/>
        <w:tblpPr w:leftFromText="181" w:rightFromText="181" w:vertAnchor="text" w:horzAnchor="margin" w:tblpY="1"/>
        <w:tblW w:w="0" w:type="auto"/>
        <w:tblLook w:val="06A0"/>
      </w:tblPr>
      <w:tblGrid>
        <w:gridCol w:w="3075"/>
        <w:gridCol w:w="2244"/>
        <w:gridCol w:w="4666"/>
        <w:gridCol w:w="4189"/>
      </w:tblGrid>
      <w:tr w:rsidR="000B653C" w:rsidRPr="00215827" w:rsidTr="002B18D5">
        <w:trPr>
          <w:cnfStyle w:val="100000000000"/>
          <w:cantSplit/>
          <w:trHeight w:val="412"/>
        </w:trPr>
        <w:tc>
          <w:tcPr>
            <w:cnfStyle w:val="001000000000"/>
            <w:tcW w:w="0" w:type="auto"/>
          </w:tcPr>
          <w:p w:rsidR="00CB71EC" w:rsidRPr="00215827" w:rsidRDefault="00CB71EC" w:rsidP="002B18D5">
            <w:pPr>
              <w:pStyle w:val="Nessunaspaziatura"/>
            </w:pPr>
            <w:r w:rsidRPr="00215827">
              <w:lastRenderedPageBreak/>
              <w:t xml:space="preserve">Policy </w:t>
            </w:r>
          </w:p>
        </w:tc>
        <w:tc>
          <w:tcPr>
            <w:tcW w:w="0" w:type="auto"/>
          </w:tcPr>
          <w:p w:rsidR="00CB71EC" w:rsidRPr="00215827" w:rsidRDefault="00CB71EC" w:rsidP="002B18D5">
            <w:pPr>
              <w:pStyle w:val="Nessunaspaziatura"/>
              <w:cnfStyle w:val="100000000000"/>
            </w:pPr>
            <w:r w:rsidRPr="00215827">
              <w:t>Ambitions</w:t>
            </w:r>
          </w:p>
        </w:tc>
        <w:tc>
          <w:tcPr>
            <w:tcW w:w="0" w:type="auto"/>
          </w:tcPr>
          <w:p w:rsidR="00CB71EC" w:rsidRPr="00215827" w:rsidRDefault="00CB71EC" w:rsidP="002B18D5">
            <w:pPr>
              <w:pStyle w:val="Nessunaspaziatura"/>
              <w:cnfStyle w:val="100000000000"/>
            </w:pPr>
            <w:r w:rsidRPr="00215827">
              <w:t>Policy Measures</w:t>
            </w:r>
          </w:p>
        </w:tc>
        <w:tc>
          <w:tcPr>
            <w:tcW w:w="0" w:type="auto"/>
          </w:tcPr>
          <w:p w:rsidR="00CB71EC" w:rsidRPr="00215827" w:rsidRDefault="00CB71EC" w:rsidP="002B18D5">
            <w:pPr>
              <w:pStyle w:val="Nessunaspaziatura"/>
              <w:cnfStyle w:val="100000000000"/>
            </w:pPr>
            <w:r w:rsidRPr="00215827">
              <w:t>Financial Incentives</w:t>
            </w:r>
          </w:p>
        </w:tc>
      </w:tr>
      <w:tr w:rsidR="000B653C" w:rsidRPr="00215827" w:rsidTr="002B18D5">
        <w:trPr>
          <w:cantSplit/>
        </w:trPr>
        <w:tc>
          <w:tcPr>
            <w:cnfStyle w:val="001000000000"/>
            <w:tcW w:w="0" w:type="auto"/>
          </w:tcPr>
          <w:p w:rsidR="00CB71EC" w:rsidRPr="00215827" w:rsidRDefault="00A227B0" w:rsidP="000B653C">
            <w:pPr>
              <w:pStyle w:val="Nessunaspaziatura"/>
            </w:pPr>
            <w:r w:rsidRPr="00215827">
              <w:t>The partial tax exemption for biofuels in France</w:t>
            </w:r>
            <w:r w:rsidR="000B653C" w:rsidRPr="00215827">
              <w:t xml:space="preserve"> -</w:t>
            </w:r>
            <w:r w:rsidR="00CB71EC" w:rsidRPr="00215827">
              <w:t>‘La DefiscalisationPartielle des Biocarburants’</w:t>
            </w:r>
            <w:r w:rsidR="00BD1597" w:rsidRPr="00215827">
              <w:t>2011</w:t>
            </w:r>
            <w:r w:rsidR="00120003" w:rsidRPr="00215827">
              <w:t>-2015</w:t>
            </w:r>
            <w:r w:rsidR="00CB71EC" w:rsidRPr="00215827">
              <w:rPr>
                <w:vertAlign w:val="superscript"/>
              </w:rPr>
              <w:footnoteReference w:id="18"/>
            </w:r>
            <w:r w:rsidR="00120003" w:rsidRPr="00215827">
              <w:rPr>
                <w:rStyle w:val="Rimandonotaapidipagina"/>
              </w:rPr>
              <w:footnoteReference w:id="19"/>
            </w:r>
          </w:p>
        </w:tc>
        <w:tc>
          <w:tcPr>
            <w:tcW w:w="0" w:type="auto"/>
          </w:tcPr>
          <w:p w:rsidR="00CB71EC" w:rsidRPr="00215827" w:rsidRDefault="00CB71EC" w:rsidP="002B18D5">
            <w:pPr>
              <w:pStyle w:val="Nessunaspaziatura"/>
              <w:cnfStyle w:val="000000000000"/>
            </w:pPr>
            <w:r w:rsidRPr="00215827">
              <w:t xml:space="preserve">Increase the proportion of renewable transport fuels in the transport fuel pool by stimulating the market for biofuels.  </w:t>
            </w:r>
          </w:p>
        </w:tc>
        <w:tc>
          <w:tcPr>
            <w:tcW w:w="0" w:type="auto"/>
          </w:tcPr>
          <w:p w:rsidR="00211A21" w:rsidRPr="00215827" w:rsidRDefault="00211A21" w:rsidP="002B18D5">
            <w:pPr>
              <w:pStyle w:val="Nessunaspaziatura"/>
              <w:cnfStyle w:val="000000000000"/>
            </w:pPr>
            <w:r w:rsidRPr="00215827">
              <w:t xml:space="preserve">Ethanol in gasoline incorporated in pure form of ETBE and vegetable oil </w:t>
            </w:r>
            <w:r w:rsidR="000B653C" w:rsidRPr="00215827">
              <w:t>methyl esters (FAME) in diesel receive benefits through a reduction of taxation</w:t>
            </w:r>
            <w:r w:rsidRPr="00215827">
              <w:t>. Since 2006, the ethyl esters of vegetable oils (VOEE), the methyl esters of animal oils (EMHA), the methyl esters of waste oils (EMHU) and synthetic biodiesel also benefit from a tax exemption</w:t>
            </w:r>
            <w:r w:rsidR="000B653C" w:rsidRPr="00215827">
              <w:t xml:space="preserve"> too</w:t>
            </w:r>
            <w:r w:rsidRPr="00215827">
              <w:t xml:space="preserve">. </w:t>
            </w:r>
          </w:p>
          <w:p w:rsidR="00211A21" w:rsidRPr="00215827" w:rsidRDefault="00211A21" w:rsidP="002B18D5">
            <w:pPr>
              <w:pStyle w:val="Nessunaspaziatura"/>
              <w:cnfStyle w:val="000000000000"/>
            </w:pPr>
            <w:r w:rsidRPr="00215827">
              <w:t>Biofuels must confirm to the EU Renewable Energy Directive rules on biofuel GHG and sustainability, including GHG savings of 35% compared to fossil fuel equivalents.</w:t>
            </w:r>
          </w:p>
        </w:tc>
        <w:tc>
          <w:tcPr>
            <w:tcW w:w="0" w:type="auto"/>
          </w:tcPr>
          <w:p w:rsidR="00CB71EC" w:rsidRPr="00215827" w:rsidRDefault="00CB71EC" w:rsidP="002E6A39">
            <w:pPr>
              <w:pStyle w:val="Nessunaspaziatura"/>
              <w:cnfStyle w:val="000000000000"/>
            </w:pPr>
            <w:r w:rsidRPr="00215827">
              <w:t xml:space="preserve">The level of tax reduction varies by fuel and has decreased gradually since 2007. In 2012 and 2013, tax reductions are as follows: </w:t>
            </w:r>
            <w:r w:rsidR="009E7498" w:rsidRPr="00215827">
              <w:t>ETBE</w:t>
            </w:r>
            <w:r w:rsidRPr="00215827">
              <w:t xml:space="preserve">, ethanol and vegetable oil derived FAME have a tax reduction of </w:t>
            </w:r>
            <w:r w:rsidR="002E6A39" w:rsidRPr="00215827">
              <w:t>€</w:t>
            </w:r>
            <w:r w:rsidRPr="00215827">
              <w:t>14 per hectolitre</w:t>
            </w:r>
            <w:r w:rsidR="002E6A39" w:rsidRPr="00215827">
              <w:t xml:space="preserve"> (100 litre)</w:t>
            </w:r>
            <w:r w:rsidR="00EF2754" w:rsidRPr="00215827">
              <w:t>. B</w:t>
            </w:r>
            <w:r w:rsidRPr="00215827">
              <w:t>iodiesel, hydrogenated vegetable oil, FAME from animal oils  and FAME from used cooking oils have a tax reduction of</w:t>
            </w:r>
            <w:r w:rsidR="002E6A39" w:rsidRPr="00215827">
              <w:t>€</w:t>
            </w:r>
            <w:r w:rsidRPr="00215827">
              <w:t xml:space="preserve">8 per hectolitre. </w:t>
            </w:r>
          </w:p>
        </w:tc>
      </w:tr>
      <w:tr w:rsidR="000B653C" w:rsidRPr="00215827" w:rsidTr="002B18D5">
        <w:trPr>
          <w:cantSplit/>
        </w:trPr>
        <w:tc>
          <w:tcPr>
            <w:cnfStyle w:val="001000000000"/>
            <w:tcW w:w="0" w:type="auto"/>
          </w:tcPr>
          <w:p w:rsidR="000D49DB" w:rsidRPr="00215827" w:rsidRDefault="000D49DB" w:rsidP="002B18D5">
            <w:pPr>
              <w:pStyle w:val="Nessunaspaziatura"/>
            </w:pPr>
            <w:r w:rsidRPr="00215827">
              <w:t>Biofuel quota (reduction of the tax on polluting activities (réduction de la taxegénéralesur les activitéspolluantes))</w:t>
            </w:r>
            <w:r w:rsidRPr="00215827">
              <w:rPr>
                <w:rStyle w:val="Rimandonotaapidipagina"/>
              </w:rPr>
              <w:footnoteReference w:id="20"/>
            </w:r>
          </w:p>
        </w:tc>
        <w:tc>
          <w:tcPr>
            <w:tcW w:w="0" w:type="auto"/>
          </w:tcPr>
          <w:p w:rsidR="000D49DB" w:rsidRPr="00215827" w:rsidRDefault="000D49DB" w:rsidP="008C7792">
            <w:pPr>
              <w:pStyle w:val="Nessunaspaziatura"/>
              <w:cnfStyle w:val="000000000000"/>
            </w:pPr>
            <w:r w:rsidRPr="00215827">
              <w:t>The national biofuels development plan has set a target of 10% of biofuels in the total fossil fuels production by 2015.</w:t>
            </w:r>
          </w:p>
        </w:tc>
        <w:tc>
          <w:tcPr>
            <w:tcW w:w="0" w:type="auto"/>
          </w:tcPr>
          <w:p w:rsidR="000D49DB" w:rsidRPr="00215827" w:rsidRDefault="008C7792" w:rsidP="002B18D5">
            <w:pPr>
              <w:pStyle w:val="Nessunaspaziatura"/>
              <w:cnfStyle w:val="000000000000"/>
            </w:pPr>
            <w:r w:rsidRPr="00215827">
              <w:t>In France, energy</w:t>
            </w:r>
            <w:r w:rsidR="000D49DB" w:rsidRPr="00215827">
              <w:t xml:space="preserve"> products are subjected to a tax on polluting activities</w:t>
            </w:r>
            <w:r w:rsidRPr="00215827">
              <w:t>,</w:t>
            </w:r>
            <w:r w:rsidR="000D49DB" w:rsidRPr="00215827">
              <w:t xml:space="preserve"> called TGAP (TaxeGénéralesur les ActivitésPolluantes). </w:t>
            </w:r>
          </w:p>
          <w:p w:rsidR="000D49DB" w:rsidRPr="00215827" w:rsidRDefault="000D49DB" w:rsidP="008C7792">
            <w:pPr>
              <w:pStyle w:val="Nessunaspaziatura"/>
              <w:cnfStyle w:val="000000000000"/>
            </w:pPr>
            <w:r w:rsidRPr="00215827">
              <w:t xml:space="preserve">The quota of biofuels to be blended within conventional fuels is defined for each fuel type. </w:t>
            </w:r>
          </w:p>
        </w:tc>
        <w:tc>
          <w:tcPr>
            <w:tcW w:w="0" w:type="auto"/>
          </w:tcPr>
          <w:p w:rsidR="000169D4" w:rsidRPr="00215827" w:rsidRDefault="008C7792" w:rsidP="000169D4">
            <w:pPr>
              <w:pStyle w:val="Nessunaspaziatura"/>
              <w:cnfStyle w:val="000000000000"/>
            </w:pPr>
            <w:r w:rsidRPr="00215827">
              <w:t>In case companies are supplying fuel for consumption and do not respect the biofuels quota, they are submitted to a higher rate of the tax on polluting activities (TGAP). </w:t>
            </w:r>
            <w:r w:rsidR="000169D4" w:rsidRPr="00215827">
              <w:t xml:space="preserve"> The increased rate of TGAP, which amounts to 7% since 2010, is reduced according to the proportion of biofuels contained in the fuel sold. </w:t>
            </w:r>
          </w:p>
          <w:p w:rsidR="000D49DB" w:rsidRPr="00215827" w:rsidRDefault="000D49DB" w:rsidP="000169D4">
            <w:pPr>
              <w:pStyle w:val="Nessunaspaziatura"/>
              <w:cnfStyle w:val="000000000000"/>
            </w:pPr>
            <w:r w:rsidRPr="00215827">
              <w:t>The TGAP on fuels amounts to between €</w:t>
            </w:r>
            <w:r w:rsidR="008C7792" w:rsidRPr="00215827">
              <w:t>17.29</w:t>
            </w:r>
            <w:r w:rsidR="000169D4" w:rsidRPr="00215827">
              <w:t>-</w:t>
            </w:r>
            <w:r w:rsidRPr="00215827">
              <w:t>63</w:t>
            </w:r>
            <w:r w:rsidR="008C7792" w:rsidRPr="00215827">
              <w:t>.96 according to the fuel type</w:t>
            </w:r>
            <w:r w:rsidRPr="00215827">
              <w:t xml:space="preserve">. </w:t>
            </w:r>
          </w:p>
        </w:tc>
      </w:tr>
    </w:tbl>
    <w:p w:rsidR="00CB71EC" w:rsidRPr="00215827" w:rsidRDefault="00CB71EC" w:rsidP="00996C34">
      <w:pPr>
        <w:pStyle w:val="Nessunaspaziatura"/>
      </w:pPr>
    </w:p>
    <w:p w:rsidR="00EF6136" w:rsidRPr="00215827" w:rsidRDefault="00EF6136" w:rsidP="005D048A">
      <w:pPr>
        <w:pStyle w:val="Titolo2"/>
      </w:pPr>
    </w:p>
    <w:p w:rsidR="005D048A" w:rsidRPr="00215827" w:rsidRDefault="005101C6" w:rsidP="00ED6A1E">
      <w:pPr>
        <w:pStyle w:val="Titolo1"/>
      </w:pPr>
      <w:r w:rsidRPr="00215827">
        <w:lastRenderedPageBreak/>
        <w:t>Aquaculture</w:t>
      </w:r>
      <w:r w:rsidR="005D048A" w:rsidRPr="00215827">
        <w:t>/Wastewater</w:t>
      </w:r>
    </w:p>
    <w:tbl>
      <w:tblPr>
        <w:tblStyle w:val="Sfondomedio1-Colore2"/>
        <w:tblpPr w:leftFromText="181" w:rightFromText="181" w:vertAnchor="text" w:horzAnchor="margin" w:tblpY="1"/>
        <w:tblW w:w="14283" w:type="dxa"/>
        <w:tblLook w:val="06A0"/>
      </w:tblPr>
      <w:tblGrid>
        <w:gridCol w:w="2377"/>
        <w:gridCol w:w="2799"/>
        <w:gridCol w:w="4733"/>
        <w:gridCol w:w="4374"/>
      </w:tblGrid>
      <w:tr w:rsidR="005D048A" w:rsidRPr="00215827" w:rsidTr="00ED6A1E">
        <w:trPr>
          <w:cnfStyle w:val="100000000000"/>
        </w:trPr>
        <w:tc>
          <w:tcPr>
            <w:cnfStyle w:val="001000000000"/>
            <w:tcW w:w="1668" w:type="dxa"/>
          </w:tcPr>
          <w:p w:rsidR="005D048A" w:rsidRPr="00215827" w:rsidRDefault="005D048A" w:rsidP="00ED6A1E">
            <w:pPr>
              <w:spacing w:before="240" w:after="200"/>
            </w:pPr>
            <w:r w:rsidRPr="00215827">
              <w:t xml:space="preserve">Policy </w:t>
            </w:r>
          </w:p>
        </w:tc>
        <w:tc>
          <w:tcPr>
            <w:tcW w:w="2976" w:type="dxa"/>
          </w:tcPr>
          <w:p w:rsidR="005D048A" w:rsidRPr="00215827" w:rsidRDefault="005D048A" w:rsidP="00ED6A1E">
            <w:pPr>
              <w:spacing w:before="240" w:after="200"/>
              <w:cnfStyle w:val="100000000000"/>
            </w:pPr>
            <w:r w:rsidRPr="00215827">
              <w:t>Ambitions</w:t>
            </w:r>
          </w:p>
        </w:tc>
        <w:tc>
          <w:tcPr>
            <w:tcW w:w="5103" w:type="dxa"/>
          </w:tcPr>
          <w:p w:rsidR="005D048A" w:rsidRPr="00215827" w:rsidRDefault="005D048A" w:rsidP="00ED6A1E">
            <w:pPr>
              <w:spacing w:before="240" w:after="200"/>
              <w:cnfStyle w:val="100000000000"/>
            </w:pPr>
            <w:r w:rsidRPr="00215827">
              <w:t>Policy Measures</w:t>
            </w:r>
          </w:p>
        </w:tc>
        <w:tc>
          <w:tcPr>
            <w:tcW w:w="4536" w:type="dxa"/>
          </w:tcPr>
          <w:p w:rsidR="005D048A" w:rsidRPr="00215827" w:rsidRDefault="005D048A" w:rsidP="00ED6A1E">
            <w:pPr>
              <w:spacing w:before="240" w:after="200"/>
              <w:cnfStyle w:val="100000000000"/>
            </w:pPr>
            <w:r w:rsidRPr="00215827">
              <w:t>Financial Incentives</w:t>
            </w:r>
          </w:p>
        </w:tc>
      </w:tr>
      <w:tr w:rsidR="005D048A" w:rsidRPr="00215827" w:rsidTr="00ED6A1E">
        <w:tc>
          <w:tcPr>
            <w:cnfStyle w:val="001000000000"/>
            <w:tcW w:w="1668" w:type="dxa"/>
          </w:tcPr>
          <w:p w:rsidR="005D048A" w:rsidRPr="00215827" w:rsidRDefault="005D048A" w:rsidP="00ED6A1E">
            <w:pPr>
              <w:pStyle w:val="Nessunaspaziatura"/>
            </w:pPr>
            <w:r w:rsidRPr="00215827">
              <w:t>AssainissementCollectif</w:t>
            </w:r>
          </w:p>
        </w:tc>
        <w:tc>
          <w:tcPr>
            <w:tcW w:w="2976" w:type="dxa"/>
          </w:tcPr>
          <w:p w:rsidR="005D048A" w:rsidRPr="00215827" w:rsidRDefault="00401BC9" w:rsidP="00ED6A1E">
            <w:pPr>
              <w:pStyle w:val="Nessunaspaziatura"/>
              <w:cnfStyle w:val="000000000000"/>
            </w:pPr>
            <w:r w:rsidRPr="00215827">
              <w:t>Rural wastewater sanitation systems</w:t>
            </w:r>
          </w:p>
        </w:tc>
        <w:tc>
          <w:tcPr>
            <w:tcW w:w="5103" w:type="dxa"/>
          </w:tcPr>
          <w:p w:rsidR="005D048A" w:rsidRPr="00215827" w:rsidRDefault="005D048A" w:rsidP="00ED6A1E">
            <w:pPr>
              <w:pStyle w:val="Nessunaspaziatura"/>
              <w:cnfStyle w:val="000000000000"/>
            </w:pPr>
            <w:r w:rsidRPr="00215827">
              <w:t xml:space="preserve">Any French township of more than 2,000 inhabitants has an obligation to have a municipal waste water treatment plant. Below that number, it is a choice. Many small villages will remain with only a small municipal plant for the village centre and the remainder will be private systems. </w:t>
            </w:r>
          </w:p>
        </w:tc>
        <w:tc>
          <w:tcPr>
            <w:tcW w:w="4536" w:type="dxa"/>
          </w:tcPr>
          <w:p w:rsidR="005D048A" w:rsidRPr="00215827" w:rsidRDefault="005D048A" w:rsidP="00ED6A1E">
            <w:pPr>
              <w:pStyle w:val="Nessunaspaziatura"/>
              <w:cnfStyle w:val="000000000000"/>
            </w:pPr>
          </w:p>
        </w:tc>
      </w:tr>
      <w:tr w:rsidR="005D048A" w:rsidRPr="005D048A" w:rsidTr="00ED6A1E">
        <w:tc>
          <w:tcPr>
            <w:cnfStyle w:val="001000000000"/>
            <w:tcW w:w="1668" w:type="dxa"/>
          </w:tcPr>
          <w:p w:rsidR="005D048A" w:rsidRPr="00215827" w:rsidRDefault="005D048A" w:rsidP="00ED6A1E">
            <w:pPr>
              <w:pStyle w:val="Nessunaspaziatura"/>
            </w:pPr>
            <w:r w:rsidRPr="00215827">
              <w:t>‘Plan to Fight Green Algae’ (Plan de Lute Contre les AlguesVertes)</w:t>
            </w:r>
          </w:p>
          <w:p w:rsidR="005D048A" w:rsidRPr="00215827" w:rsidRDefault="005D048A" w:rsidP="00ED6A1E">
            <w:pPr>
              <w:pStyle w:val="Nessunaspaziatura"/>
            </w:pPr>
            <w:r w:rsidRPr="00215827">
              <w:t xml:space="preserve">2010-2015 </w:t>
            </w:r>
            <w:r w:rsidRPr="00215827">
              <w:footnoteReference w:id="21"/>
            </w:r>
            <w:r w:rsidRPr="00215827">
              <w:t xml:space="preserve">, </w:t>
            </w:r>
            <w:r w:rsidRPr="00215827">
              <w:footnoteReference w:id="22"/>
            </w:r>
            <w:r w:rsidRPr="00215827">
              <w:t>.</w:t>
            </w:r>
          </w:p>
        </w:tc>
        <w:tc>
          <w:tcPr>
            <w:tcW w:w="2976" w:type="dxa"/>
          </w:tcPr>
          <w:p w:rsidR="005D048A" w:rsidRPr="00215827" w:rsidRDefault="005D048A" w:rsidP="00ED6A1E">
            <w:pPr>
              <w:pStyle w:val="Nessunaspaziatura"/>
              <w:cnfStyle w:val="000000000000"/>
            </w:pPr>
            <w:r w:rsidRPr="00215827">
              <w:t>Mitigate the nuisance of green algae washed up on beaches of Bretagne (in 2015 reduce flow of nitrates from 30 to at least 40% compare to 2010)</w:t>
            </w:r>
            <w:r w:rsidR="00B17292" w:rsidRPr="00215827">
              <w:t xml:space="preserve"> Part of the project aims to establish AD plants which should be developed in the next 3 years.</w:t>
            </w:r>
          </w:p>
        </w:tc>
        <w:tc>
          <w:tcPr>
            <w:tcW w:w="5103" w:type="dxa"/>
          </w:tcPr>
          <w:p w:rsidR="005D048A" w:rsidRPr="00215827" w:rsidRDefault="005D048A" w:rsidP="00ED6A1E">
            <w:pPr>
              <w:pStyle w:val="Nessunaspaziatura"/>
              <w:cnfStyle w:val="000000000000"/>
            </w:pPr>
            <w:r w:rsidRPr="00215827">
              <w:t>This programme runs from 2011-2015 and encompasses a raft of measures to reduce nuisance of algae on beaches in Brittany, including research on how green algae grow, analysis of environmental and health risks, support for collection of algae, targets to reduce nitrogen fertilizer use by 30% by 2015 and 60% by 2027 in affected watersheds and infrastructure development to use the algae.</w:t>
            </w:r>
          </w:p>
          <w:p w:rsidR="005D048A" w:rsidRPr="00215827" w:rsidRDefault="005D048A" w:rsidP="00ED6A1E">
            <w:pPr>
              <w:pStyle w:val="Nessunaspaziatura"/>
              <w:cnfStyle w:val="000000000000"/>
            </w:pPr>
            <w:r w:rsidRPr="00215827">
              <w:t>AD is supported as a route to generate energy and provide a digestate product which can be used in place of nitrogen fertiliser. The aim is to replace 50% of mineral fertilisers in affected watersheds by digestate between 2010 and 2015. AD of wastes including animal waste, and residual grain is in the plan.</w:t>
            </w:r>
          </w:p>
        </w:tc>
        <w:tc>
          <w:tcPr>
            <w:tcW w:w="4536" w:type="dxa"/>
          </w:tcPr>
          <w:p w:rsidR="005D048A" w:rsidRPr="00215827" w:rsidRDefault="005D048A" w:rsidP="00ED6A1E">
            <w:pPr>
              <w:pStyle w:val="Nessunaspaziatura"/>
              <w:cnfStyle w:val="000000000000"/>
              <w:rPr>
                <w:rStyle w:val="hps"/>
              </w:rPr>
            </w:pPr>
            <w:r w:rsidRPr="00215827">
              <w:rPr>
                <w:rStyle w:val="hps"/>
              </w:rPr>
              <w:t>State participation in the program</w:t>
            </w:r>
            <w:r w:rsidRPr="00215827">
              <w:t>:</w:t>
            </w:r>
          </w:p>
          <w:p w:rsidR="005D048A" w:rsidRPr="00215827" w:rsidRDefault="005D048A" w:rsidP="00ED6A1E">
            <w:pPr>
              <w:pStyle w:val="Nessunaspaziatura"/>
              <w:numPr>
                <w:ilvl w:val="0"/>
                <w:numId w:val="17"/>
              </w:numPr>
              <w:cnfStyle w:val="000000000000"/>
            </w:pPr>
            <w:r w:rsidRPr="00215827">
              <w:rPr>
                <w:rStyle w:val="hps"/>
              </w:rPr>
              <w:t>Knowledge:€200,000(50%)</w:t>
            </w:r>
          </w:p>
          <w:p w:rsidR="005D048A" w:rsidRPr="00215827" w:rsidRDefault="005D048A" w:rsidP="00ED6A1E">
            <w:pPr>
              <w:pStyle w:val="Nessunaspaziatura"/>
              <w:numPr>
                <w:ilvl w:val="0"/>
                <w:numId w:val="17"/>
              </w:numPr>
              <w:cnfStyle w:val="000000000000"/>
            </w:pPr>
            <w:r w:rsidRPr="00215827">
              <w:rPr>
                <w:rStyle w:val="hps"/>
              </w:rPr>
              <w:t>Collection</w:t>
            </w:r>
            <w:r w:rsidRPr="00215827">
              <w:t xml:space="preserve">: </w:t>
            </w:r>
            <w:r w:rsidRPr="00215827">
              <w:rPr>
                <w:rStyle w:val="hps"/>
              </w:rPr>
              <w:t>maximum€700,000(50</w:t>
            </w:r>
            <w:r w:rsidRPr="00215827">
              <w:t>%)</w:t>
            </w:r>
          </w:p>
          <w:p w:rsidR="005D048A" w:rsidRPr="00215827" w:rsidRDefault="005D048A" w:rsidP="00ED6A1E">
            <w:pPr>
              <w:pStyle w:val="Nessunaspaziatura"/>
              <w:numPr>
                <w:ilvl w:val="0"/>
                <w:numId w:val="17"/>
              </w:numPr>
              <w:cnfStyle w:val="000000000000"/>
            </w:pPr>
            <w:r w:rsidRPr="00215827">
              <w:rPr>
                <w:rStyle w:val="hps"/>
              </w:rPr>
              <w:t>Experimentation</w:t>
            </w:r>
            <w:r w:rsidR="00CD5923" w:rsidRPr="00215827">
              <w:rPr>
                <w:rStyle w:val="hps"/>
              </w:rPr>
              <w:t>:</w:t>
            </w:r>
            <w:r w:rsidRPr="00215827">
              <w:rPr>
                <w:rStyle w:val="hps"/>
              </w:rPr>
              <w:t>€ 140,000(30%)</w:t>
            </w:r>
          </w:p>
          <w:p w:rsidR="005D048A" w:rsidRPr="00215827" w:rsidRDefault="005D048A" w:rsidP="00ED6A1E">
            <w:pPr>
              <w:pStyle w:val="Nessunaspaziatura"/>
              <w:numPr>
                <w:ilvl w:val="0"/>
                <w:numId w:val="17"/>
              </w:numPr>
              <w:cnfStyle w:val="000000000000"/>
            </w:pPr>
            <w:r w:rsidRPr="00215827">
              <w:rPr>
                <w:rStyle w:val="hps"/>
              </w:rPr>
              <w:t>Treatment:platforms (</w:t>
            </w:r>
            <w:r w:rsidRPr="00215827">
              <w:t xml:space="preserve">3) </w:t>
            </w:r>
            <w:r w:rsidR="00CD5923" w:rsidRPr="00215827">
              <w:rPr>
                <w:rStyle w:val="hps"/>
              </w:rPr>
              <w:t>€</w:t>
            </w:r>
            <w:r w:rsidRPr="00215827">
              <w:rPr>
                <w:rStyle w:val="hps"/>
              </w:rPr>
              <w:t>8M(80%)</w:t>
            </w:r>
          </w:p>
          <w:p w:rsidR="005D048A" w:rsidRPr="00215827" w:rsidRDefault="005D048A" w:rsidP="00ED6A1E">
            <w:pPr>
              <w:pStyle w:val="Nessunaspaziatura"/>
              <w:numPr>
                <w:ilvl w:val="0"/>
                <w:numId w:val="17"/>
              </w:numPr>
              <w:cnfStyle w:val="000000000000"/>
            </w:pPr>
            <w:r w:rsidRPr="00215827">
              <w:rPr>
                <w:rStyle w:val="hps"/>
              </w:rPr>
              <w:t>Operationin 2010</w:t>
            </w:r>
            <w:r w:rsidR="00CD5923" w:rsidRPr="00215827">
              <w:t>:</w:t>
            </w:r>
            <w:r w:rsidRPr="00215827">
              <w:rPr>
                <w:rStyle w:val="hps"/>
              </w:rPr>
              <w:t>€500,000(50%)</w:t>
            </w:r>
          </w:p>
          <w:p w:rsidR="005D048A" w:rsidRPr="00215827" w:rsidRDefault="005D048A" w:rsidP="00ED6A1E">
            <w:pPr>
              <w:pStyle w:val="Nessunaspaziatura"/>
              <w:numPr>
                <w:ilvl w:val="0"/>
                <w:numId w:val="17"/>
              </w:numPr>
              <w:cnfStyle w:val="000000000000"/>
            </w:pPr>
            <w:r w:rsidRPr="00215827">
              <w:rPr>
                <w:rStyle w:val="hps"/>
              </w:rPr>
              <w:t>Methanationconditions to assisttwenty projects</w:t>
            </w:r>
          </w:p>
          <w:p w:rsidR="005D048A" w:rsidRPr="00215827" w:rsidRDefault="005D048A" w:rsidP="00ED6A1E">
            <w:pPr>
              <w:pStyle w:val="Nessunaspaziatura"/>
              <w:numPr>
                <w:ilvl w:val="0"/>
                <w:numId w:val="17"/>
              </w:numPr>
              <w:cnfStyle w:val="000000000000"/>
              <w:rPr>
                <w:rStyle w:val="hps"/>
              </w:rPr>
            </w:pPr>
            <w:r w:rsidRPr="00215827">
              <w:rPr>
                <w:rStyle w:val="hps"/>
              </w:rPr>
              <w:t>Agricultural measures</w:t>
            </w:r>
            <w:r w:rsidRPr="00215827">
              <w:t xml:space="preserve">: </w:t>
            </w:r>
            <w:r w:rsidR="00CD5923" w:rsidRPr="00215827">
              <w:rPr>
                <w:rStyle w:val="hps"/>
              </w:rPr>
              <w:t>€</w:t>
            </w:r>
            <w:r w:rsidRPr="00215827">
              <w:t xml:space="preserve">16M </w:t>
            </w:r>
            <w:r w:rsidRPr="00215827">
              <w:rPr>
                <w:rStyle w:val="hps"/>
              </w:rPr>
              <w:t>/year for 5 years.</w:t>
            </w:r>
          </w:p>
          <w:p w:rsidR="005D048A" w:rsidRPr="005D048A" w:rsidRDefault="005D048A" w:rsidP="00ED6A1E">
            <w:pPr>
              <w:pStyle w:val="Nessunaspaziatura"/>
              <w:cnfStyle w:val="000000000000"/>
            </w:pPr>
            <w:r w:rsidRPr="00215827">
              <w:t xml:space="preserve">The 2nd call for proposals </w:t>
            </w:r>
            <w:r w:rsidR="00C202A4" w:rsidRPr="00215827">
              <w:t xml:space="preserve">was </w:t>
            </w:r>
            <w:r w:rsidRPr="00215827">
              <w:t>in 2012 h</w:t>
            </w:r>
            <w:r w:rsidR="00C202A4" w:rsidRPr="00215827">
              <w:t>ad</w:t>
            </w:r>
            <w:r w:rsidRPr="00215827">
              <w:t xml:space="preserve"> a total fund of </w:t>
            </w:r>
            <w:r w:rsidR="00E113DA" w:rsidRPr="00215827">
              <w:t>€</w:t>
            </w:r>
            <w:r w:rsidRPr="00215827">
              <w:t>4</w:t>
            </w:r>
            <w:r w:rsidR="00CD5923" w:rsidRPr="00215827">
              <w:t>M</w:t>
            </w:r>
            <w:r w:rsidR="00B17292" w:rsidRPr="00215827">
              <w:t>for development of AD plants</w:t>
            </w:r>
            <w:r w:rsidR="003B51CC" w:rsidRPr="00215827">
              <w:t>. This f</w:t>
            </w:r>
            <w:r w:rsidRPr="00215827">
              <w:t>unding is limited to those localities most affected by green algae.</w:t>
            </w:r>
          </w:p>
        </w:tc>
      </w:tr>
    </w:tbl>
    <w:p w:rsidR="005101C6" w:rsidRPr="002278F6" w:rsidRDefault="005101C6" w:rsidP="005101C6"/>
    <w:sectPr w:rsidR="005101C6" w:rsidRPr="002278F6" w:rsidSect="00CB71EC">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206" w:rsidRDefault="004E1206" w:rsidP="00CB71EC">
      <w:pPr>
        <w:spacing w:after="0" w:line="240" w:lineRule="auto"/>
      </w:pPr>
      <w:r>
        <w:separator/>
      </w:r>
    </w:p>
  </w:endnote>
  <w:endnote w:type="continuationSeparator" w:id="1">
    <w:p w:rsidR="004E1206" w:rsidRDefault="004E1206" w:rsidP="00CB71EC">
      <w:pPr>
        <w:spacing w:after="0" w:line="240" w:lineRule="auto"/>
      </w:pPr>
      <w:r>
        <w:continuationSeparator/>
      </w:r>
    </w:p>
  </w:endnote>
  <w:endnote w:type="continuationNotice" w:id="2">
    <w:p w:rsidR="004E1206" w:rsidRDefault="004E1206">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732475"/>
      <w:docPartObj>
        <w:docPartGallery w:val="Page Numbers (Bottom of Page)"/>
        <w:docPartUnique/>
      </w:docPartObj>
    </w:sdtPr>
    <w:sdtEndPr>
      <w:rPr>
        <w:noProof/>
      </w:rPr>
    </w:sdtEndPr>
    <w:sdtContent>
      <w:p w:rsidR="00B209A2" w:rsidRDefault="00BF22EB">
        <w:pPr>
          <w:pStyle w:val="Pidipagina"/>
          <w:jc w:val="center"/>
        </w:pPr>
        <w:r>
          <w:fldChar w:fldCharType="begin"/>
        </w:r>
        <w:r w:rsidR="00B209A2">
          <w:instrText xml:space="preserve"> PAGE   \* MERGEFORMAT </w:instrText>
        </w:r>
        <w:r>
          <w:fldChar w:fldCharType="separate"/>
        </w:r>
        <w:r w:rsidR="0098521D">
          <w:rPr>
            <w:noProof/>
          </w:rPr>
          <w:t>10</w:t>
        </w:r>
        <w:r>
          <w:rPr>
            <w:noProof/>
          </w:rPr>
          <w:fldChar w:fldCharType="end"/>
        </w:r>
      </w:p>
    </w:sdtContent>
  </w:sdt>
  <w:p w:rsidR="00B209A2" w:rsidRDefault="00B209A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206" w:rsidRDefault="004E1206" w:rsidP="00CB71EC">
      <w:pPr>
        <w:spacing w:after="0" w:line="240" w:lineRule="auto"/>
      </w:pPr>
      <w:r>
        <w:separator/>
      </w:r>
    </w:p>
  </w:footnote>
  <w:footnote w:type="continuationSeparator" w:id="1">
    <w:p w:rsidR="004E1206" w:rsidRDefault="004E1206" w:rsidP="00CB71EC">
      <w:pPr>
        <w:spacing w:after="0" w:line="240" w:lineRule="auto"/>
      </w:pPr>
      <w:r>
        <w:continuationSeparator/>
      </w:r>
    </w:p>
  </w:footnote>
  <w:footnote w:type="continuationNotice" w:id="2">
    <w:p w:rsidR="004E1206" w:rsidRDefault="004E1206">
      <w:pPr>
        <w:spacing w:after="0" w:line="240" w:lineRule="auto"/>
      </w:pPr>
    </w:p>
  </w:footnote>
  <w:footnote w:id="3">
    <w:p w:rsidR="00E5360D" w:rsidRPr="002512C0" w:rsidRDefault="00E5360D" w:rsidP="002512C0">
      <w:pPr>
        <w:pStyle w:val="Nessunaspaziatura"/>
        <w:rPr>
          <w:sz w:val="18"/>
          <w:szCs w:val="18"/>
        </w:rPr>
      </w:pPr>
      <w:r w:rsidRPr="002512C0">
        <w:rPr>
          <w:rStyle w:val="Rimandonotaapidipagina"/>
          <w:sz w:val="18"/>
          <w:szCs w:val="18"/>
        </w:rPr>
        <w:footnoteRef/>
      </w:r>
      <w:hyperlink r:id="rId1" w:history="1">
        <w:r w:rsidRPr="002512C0">
          <w:rPr>
            <w:rStyle w:val="Collegamentoipertestuale"/>
            <w:sz w:val="18"/>
            <w:szCs w:val="18"/>
          </w:rPr>
          <w:t>http://www.developpement-durable.gouv.fr/-Le-Grenelle-de-l-environnement-de-.html</w:t>
        </w:r>
      </w:hyperlink>
    </w:p>
  </w:footnote>
  <w:footnote w:id="4">
    <w:p w:rsidR="00E5360D" w:rsidRPr="002512C0" w:rsidRDefault="00E5360D" w:rsidP="002512C0">
      <w:pPr>
        <w:pStyle w:val="Nessunaspaziatura"/>
        <w:rPr>
          <w:sz w:val="18"/>
          <w:szCs w:val="18"/>
        </w:rPr>
      </w:pPr>
      <w:r w:rsidRPr="002512C0">
        <w:rPr>
          <w:rStyle w:val="Rimandonotaapidipagina"/>
          <w:sz w:val="18"/>
          <w:szCs w:val="18"/>
        </w:rPr>
        <w:footnoteRef/>
      </w:r>
      <w:hyperlink r:id="rId2" w:history="1">
        <w:r w:rsidRPr="002512C0">
          <w:rPr>
            <w:rStyle w:val="Collegamentoipertestuale"/>
            <w:sz w:val="18"/>
            <w:szCs w:val="18"/>
          </w:rPr>
          <w:t>http://ec.europa.eu/energy/renewables/action_plan_en.htm</w:t>
        </w:r>
      </w:hyperlink>
    </w:p>
  </w:footnote>
  <w:footnote w:id="5">
    <w:p w:rsidR="00E5360D" w:rsidRPr="002512C0" w:rsidRDefault="00E5360D" w:rsidP="002512C0">
      <w:pPr>
        <w:pStyle w:val="Nessunaspaziatura"/>
        <w:rPr>
          <w:sz w:val="18"/>
          <w:szCs w:val="18"/>
        </w:rPr>
      </w:pPr>
      <w:r w:rsidRPr="002512C0">
        <w:rPr>
          <w:rStyle w:val="Rimandonotaapidipagina"/>
          <w:sz w:val="18"/>
          <w:szCs w:val="18"/>
        </w:rPr>
        <w:footnoteRef/>
      </w:r>
      <w:hyperlink r:id="rId3" w:history="1">
        <w:r w:rsidRPr="002512C0">
          <w:rPr>
            <w:rStyle w:val="Collegamentoipertestuale"/>
            <w:sz w:val="18"/>
            <w:szCs w:val="18"/>
          </w:rPr>
          <w:t>http://www.legifrance.gouv.fr/affichTexte.do;jsessionid=B8159E9B779A93928734F471FCDC158D.tpdjo13v_3?cidTexte=JORFTEXT000021645823&amp;dateTexte=20130212</w:t>
        </w:r>
      </w:hyperlink>
    </w:p>
    <w:p w:rsidR="00E5360D" w:rsidRPr="002512C0" w:rsidRDefault="00E5360D" w:rsidP="002512C0">
      <w:pPr>
        <w:pStyle w:val="Nessunaspaziatura"/>
        <w:rPr>
          <w:sz w:val="18"/>
          <w:szCs w:val="18"/>
        </w:rPr>
      </w:pPr>
    </w:p>
  </w:footnote>
  <w:footnote w:id="6">
    <w:p w:rsidR="00017EBA" w:rsidRPr="002512C0" w:rsidRDefault="00017EBA" w:rsidP="002512C0">
      <w:pPr>
        <w:pStyle w:val="Nessunaspaziatura"/>
        <w:rPr>
          <w:sz w:val="18"/>
          <w:szCs w:val="18"/>
        </w:rPr>
      </w:pPr>
      <w:r w:rsidRPr="002512C0">
        <w:rPr>
          <w:rStyle w:val="Rimandonotaapidipagina"/>
          <w:sz w:val="18"/>
          <w:szCs w:val="18"/>
        </w:rPr>
        <w:footnoteRef/>
      </w:r>
      <w:hyperlink r:id="rId4" w:history="1">
        <w:r w:rsidRPr="002512C0">
          <w:rPr>
            <w:rStyle w:val="Collegamentoipertestuale"/>
            <w:sz w:val="18"/>
            <w:szCs w:val="18"/>
          </w:rPr>
          <w:t>http://www.developpement-durable.gouv.fr/Les-tarifs-d-achat-de-l,12195.html</w:t>
        </w:r>
      </w:hyperlink>
    </w:p>
  </w:footnote>
  <w:footnote w:id="7">
    <w:p w:rsidR="001F7FC9" w:rsidRPr="002512C0" w:rsidRDefault="001F7FC9" w:rsidP="002512C0">
      <w:pPr>
        <w:pStyle w:val="Nessunaspaziatura"/>
        <w:rPr>
          <w:sz w:val="18"/>
          <w:szCs w:val="18"/>
        </w:rPr>
      </w:pPr>
      <w:r w:rsidRPr="002512C0">
        <w:rPr>
          <w:rStyle w:val="Rimandonotaapidipagina"/>
          <w:sz w:val="18"/>
          <w:szCs w:val="18"/>
        </w:rPr>
        <w:footnoteRef/>
      </w:r>
      <w:hyperlink r:id="rId5" w:history="1">
        <w:r w:rsidRPr="002512C0">
          <w:rPr>
            <w:rStyle w:val="Collegamentoipertestuale"/>
            <w:sz w:val="18"/>
            <w:szCs w:val="18"/>
          </w:rPr>
          <w:t>http://www.res-legal.eu/search-by-country/france/single/s/res-e/t/promotion/aid/tax-regulation-mechanisms-i-credit-dimpot/lastp/131/</w:t>
        </w:r>
      </w:hyperlink>
    </w:p>
  </w:footnote>
  <w:footnote w:id="8">
    <w:p w:rsidR="00AB34B9" w:rsidRPr="002512C0" w:rsidRDefault="00AB34B9" w:rsidP="002512C0">
      <w:pPr>
        <w:pStyle w:val="Nessunaspaziatura"/>
        <w:rPr>
          <w:sz w:val="18"/>
          <w:szCs w:val="18"/>
        </w:rPr>
      </w:pPr>
      <w:r w:rsidRPr="002512C0">
        <w:rPr>
          <w:rStyle w:val="Rimandonotaapidipagina"/>
          <w:sz w:val="18"/>
          <w:szCs w:val="18"/>
        </w:rPr>
        <w:footnoteRef/>
      </w:r>
      <w:hyperlink r:id="rId6" w:history="1">
        <w:r w:rsidRPr="002512C0">
          <w:rPr>
            <w:rStyle w:val="Collegamentoipertestuale"/>
            <w:sz w:val="18"/>
            <w:szCs w:val="18"/>
          </w:rPr>
          <w:t>http://www.res-legal.eu/search-by-country/france/single/s/res-hc/t/promotion/aid/tax-regulation-mechanism-credit-dimpot-developpement-durable/lastp/131/</w:t>
        </w:r>
      </w:hyperlink>
    </w:p>
  </w:footnote>
  <w:footnote w:id="9">
    <w:p w:rsidR="002278F6" w:rsidRPr="002512C0" w:rsidRDefault="002278F6" w:rsidP="002512C0">
      <w:pPr>
        <w:pStyle w:val="Nessunaspaziatura"/>
        <w:rPr>
          <w:sz w:val="18"/>
          <w:szCs w:val="18"/>
        </w:rPr>
      </w:pPr>
      <w:r w:rsidRPr="002512C0">
        <w:rPr>
          <w:rStyle w:val="Rimandonotaapidipagina"/>
          <w:sz w:val="18"/>
          <w:szCs w:val="18"/>
        </w:rPr>
        <w:footnoteRef/>
      </w:r>
      <w:hyperlink r:id="rId7" w:history="1">
        <w:r w:rsidRPr="002512C0">
          <w:rPr>
            <w:rStyle w:val="Collegamentoipertestuale"/>
            <w:sz w:val="18"/>
            <w:szCs w:val="18"/>
          </w:rPr>
          <w:t>http://www.res-legal.eu/search-by-country/france/single/s/res-e/t/promotion/aid/tax-regulation-mechanisms-ii-value-added-tax-reduction/lastp/131/</w:t>
        </w:r>
      </w:hyperlink>
    </w:p>
  </w:footnote>
  <w:footnote w:id="10">
    <w:p w:rsidR="0073036A" w:rsidRPr="002512C0" w:rsidRDefault="0073036A" w:rsidP="002512C0">
      <w:pPr>
        <w:pStyle w:val="Nessunaspaziatura"/>
        <w:rPr>
          <w:sz w:val="18"/>
          <w:szCs w:val="18"/>
        </w:rPr>
      </w:pPr>
      <w:r w:rsidRPr="002512C0">
        <w:rPr>
          <w:rStyle w:val="Rimandonotaapidipagina"/>
          <w:sz w:val="18"/>
          <w:szCs w:val="18"/>
        </w:rPr>
        <w:footnoteRef/>
      </w:r>
      <w:hyperlink r:id="rId8" w:history="1">
        <w:r w:rsidRPr="002512C0">
          <w:rPr>
            <w:rStyle w:val="Collegamentoipertestuale"/>
            <w:sz w:val="18"/>
            <w:szCs w:val="18"/>
          </w:rPr>
          <w:t>http://www.res-legal.eu/search-by-country/france/single/s/res-hc/t/promotion/aid/tax-regulation-mechanisms-ii-value-added-tax-reduction-1/lastp/131/</w:t>
        </w:r>
      </w:hyperlink>
    </w:p>
  </w:footnote>
  <w:footnote w:id="11">
    <w:p w:rsidR="00996C34" w:rsidRPr="002512C0" w:rsidRDefault="00996C34" w:rsidP="002512C0">
      <w:pPr>
        <w:pStyle w:val="Nessunaspaziatura"/>
        <w:rPr>
          <w:sz w:val="18"/>
          <w:szCs w:val="18"/>
        </w:rPr>
      </w:pPr>
      <w:r w:rsidRPr="002512C0">
        <w:rPr>
          <w:rStyle w:val="Rimandonotaapidipagina"/>
          <w:sz w:val="18"/>
          <w:szCs w:val="18"/>
        </w:rPr>
        <w:footnoteRef/>
      </w:r>
      <w:hyperlink r:id="rId9" w:history="1">
        <w:r w:rsidRPr="002512C0">
          <w:rPr>
            <w:rStyle w:val="Collegamentoipertestuale"/>
            <w:sz w:val="18"/>
            <w:szCs w:val="18"/>
          </w:rPr>
          <w:t>http://www.res-legal.eu/search-by-country/france/single/s/res-hc/t/promotion/aid/loan-eco-pret-a-taux-zero/lastp/131/</w:t>
        </w:r>
      </w:hyperlink>
    </w:p>
    <w:p w:rsidR="00996C34" w:rsidRPr="002512C0" w:rsidRDefault="00996C34" w:rsidP="002512C0">
      <w:pPr>
        <w:pStyle w:val="Nessunaspaziatura"/>
        <w:rPr>
          <w:sz w:val="18"/>
          <w:szCs w:val="18"/>
        </w:rPr>
      </w:pPr>
    </w:p>
  </w:footnote>
  <w:footnote w:id="12">
    <w:p w:rsidR="004D5A94" w:rsidRPr="002512C0" w:rsidRDefault="004D5A94" w:rsidP="002512C0">
      <w:pPr>
        <w:pStyle w:val="Nessunaspaziatura"/>
        <w:rPr>
          <w:sz w:val="18"/>
          <w:szCs w:val="18"/>
        </w:rPr>
      </w:pPr>
      <w:r w:rsidRPr="002512C0">
        <w:rPr>
          <w:rStyle w:val="Rimandonotaapidipagina"/>
          <w:sz w:val="18"/>
          <w:szCs w:val="18"/>
        </w:rPr>
        <w:footnoteRef/>
      </w:r>
      <w:hyperlink r:id="rId10" w:history="1">
        <w:r w:rsidRPr="002512C0">
          <w:rPr>
            <w:rStyle w:val="Collegamentoipertestuale"/>
            <w:sz w:val="18"/>
            <w:szCs w:val="18"/>
          </w:rPr>
          <w:t>http://www.res-legal.eu/search-by-country/france/single/s/res-e/t/promotion/aid/tenders-appels-doffres/lastp/131/</w:t>
        </w:r>
      </w:hyperlink>
    </w:p>
  </w:footnote>
  <w:footnote w:id="13">
    <w:p w:rsidR="004D5A94" w:rsidRPr="002512C0" w:rsidRDefault="004D5A94" w:rsidP="002512C0">
      <w:pPr>
        <w:pStyle w:val="Nessunaspaziatura"/>
        <w:rPr>
          <w:sz w:val="18"/>
          <w:szCs w:val="18"/>
        </w:rPr>
      </w:pPr>
      <w:r w:rsidRPr="002512C0">
        <w:rPr>
          <w:rStyle w:val="Rimandonotaapidipagina"/>
          <w:sz w:val="18"/>
          <w:szCs w:val="18"/>
        </w:rPr>
        <w:footnoteRef/>
      </w:r>
      <w:hyperlink r:id="rId11" w:history="1">
        <w:r w:rsidRPr="002512C0">
          <w:rPr>
            <w:rStyle w:val="Collegamentoipertestuale"/>
            <w:sz w:val="18"/>
            <w:szCs w:val="18"/>
          </w:rPr>
          <w:t>http://www.cre.fr/documents/appels-d-offres</w:t>
        </w:r>
      </w:hyperlink>
    </w:p>
  </w:footnote>
  <w:footnote w:id="14">
    <w:p w:rsidR="00017EBA" w:rsidRPr="002512C0" w:rsidRDefault="00017EBA" w:rsidP="002512C0">
      <w:pPr>
        <w:pStyle w:val="Nessunaspaziatura"/>
        <w:rPr>
          <w:sz w:val="18"/>
          <w:szCs w:val="18"/>
        </w:rPr>
      </w:pPr>
      <w:r w:rsidRPr="002512C0">
        <w:rPr>
          <w:rStyle w:val="Rimandonotaapidipagina"/>
          <w:sz w:val="18"/>
          <w:szCs w:val="18"/>
        </w:rPr>
        <w:footnoteRef/>
      </w:r>
      <w:hyperlink r:id="rId12" w:history="1">
        <w:r w:rsidRPr="002512C0">
          <w:rPr>
            <w:rStyle w:val="Collegamentoipertestuale"/>
            <w:sz w:val="18"/>
            <w:szCs w:val="18"/>
          </w:rPr>
          <w:t>http://www2.ademe.fr/servlet/KBaseShow?sort=-1&amp;cid=96&amp;m=3&amp;catid=25160</w:t>
        </w:r>
      </w:hyperlink>
    </w:p>
  </w:footnote>
  <w:footnote w:id="15">
    <w:p w:rsidR="00017EBA" w:rsidRPr="002512C0" w:rsidRDefault="00017EBA" w:rsidP="002512C0">
      <w:pPr>
        <w:pStyle w:val="Nessunaspaziatura"/>
        <w:rPr>
          <w:sz w:val="18"/>
          <w:szCs w:val="18"/>
        </w:rPr>
      </w:pPr>
      <w:r w:rsidRPr="002512C0">
        <w:rPr>
          <w:rStyle w:val="Rimandonotaapidipagina"/>
          <w:sz w:val="18"/>
          <w:szCs w:val="18"/>
        </w:rPr>
        <w:footnoteRef/>
      </w:r>
      <w:hyperlink r:id="rId13" w:history="1">
        <w:r w:rsidRPr="002512C0">
          <w:rPr>
            <w:rStyle w:val="Collegamentoipertestuale"/>
            <w:sz w:val="18"/>
            <w:szCs w:val="18"/>
          </w:rPr>
          <w:t>http://www.developpement-durable.gouv.fr/Presentation-generale,25027.html</w:t>
        </w:r>
      </w:hyperlink>
    </w:p>
  </w:footnote>
  <w:footnote w:id="16">
    <w:p w:rsidR="00EC114B" w:rsidRPr="002512C0" w:rsidRDefault="00EC114B" w:rsidP="002512C0">
      <w:pPr>
        <w:pStyle w:val="Nessunaspaziatura"/>
        <w:rPr>
          <w:sz w:val="18"/>
          <w:szCs w:val="18"/>
        </w:rPr>
      </w:pPr>
      <w:r w:rsidRPr="002512C0">
        <w:rPr>
          <w:rStyle w:val="Rimandonotaapidipagina"/>
          <w:sz w:val="18"/>
          <w:szCs w:val="18"/>
        </w:rPr>
        <w:footnoteRef/>
      </w:r>
      <w:hyperlink r:id="rId14" w:history="1">
        <w:r w:rsidRPr="002512C0">
          <w:rPr>
            <w:rStyle w:val="Collegamentoipertestuale"/>
            <w:sz w:val="18"/>
            <w:szCs w:val="18"/>
          </w:rPr>
          <w:t>http://www.developpement-durable.gouv.fr/Dispositif-de-soutien-a-la-filiere</w:t>
        </w:r>
      </w:hyperlink>
    </w:p>
  </w:footnote>
  <w:footnote w:id="17">
    <w:p w:rsidR="00E96C55" w:rsidRPr="002512C0" w:rsidRDefault="00E96C55" w:rsidP="002512C0">
      <w:pPr>
        <w:pStyle w:val="Nessunaspaziatura"/>
        <w:rPr>
          <w:sz w:val="18"/>
          <w:szCs w:val="18"/>
        </w:rPr>
      </w:pPr>
      <w:r w:rsidRPr="002512C0">
        <w:rPr>
          <w:rStyle w:val="Rimandonotaapidipagina"/>
          <w:sz w:val="18"/>
          <w:szCs w:val="18"/>
        </w:rPr>
        <w:footnoteRef/>
      </w:r>
      <w:hyperlink r:id="rId15" w:history="1">
        <w:r w:rsidRPr="002512C0">
          <w:rPr>
            <w:rStyle w:val="Collegamentoipertestuale"/>
            <w:sz w:val="18"/>
            <w:szCs w:val="18"/>
          </w:rPr>
          <w:t>http://agriculture.gouv.fr/plan-performance-energetique-des</w:t>
        </w:r>
      </w:hyperlink>
    </w:p>
  </w:footnote>
  <w:footnote w:id="18">
    <w:p w:rsidR="00017EBA" w:rsidRPr="002512C0" w:rsidRDefault="00017EBA" w:rsidP="002512C0">
      <w:pPr>
        <w:pStyle w:val="Nessunaspaziatura"/>
        <w:rPr>
          <w:sz w:val="18"/>
          <w:szCs w:val="18"/>
        </w:rPr>
      </w:pPr>
      <w:r w:rsidRPr="002512C0">
        <w:rPr>
          <w:rStyle w:val="Rimandonotaapidipagina"/>
          <w:sz w:val="18"/>
          <w:szCs w:val="18"/>
        </w:rPr>
        <w:footnoteRef/>
      </w:r>
      <w:hyperlink r:id="rId16" w:history="1">
        <w:r w:rsidRPr="002512C0">
          <w:rPr>
            <w:rStyle w:val="Collegamentoipertestuale"/>
            <w:sz w:val="18"/>
            <w:szCs w:val="18"/>
          </w:rPr>
          <w:t>http://www.developpement-durable.gouv.fr/La-defiscalisation-partielle-des.html</w:t>
        </w:r>
      </w:hyperlink>
    </w:p>
  </w:footnote>
  <w:footnote w:id="19">
    <w:p w:rsidR="00120003" w:rsidRPr="002512C0" w:rsidRDefault="00120003" w:rsidP="002512C0">
      <w:pPr>
        <w:pStyle w:val="Nessunaspaziatura"/>
        <w:rPr>
          <w:sz w:val="18"/>
          <w:szCs w:val="18"/>
        </w:rPr>
      </w:pPr>
      <w:r w:rsidRPr="002512C0">
        <w:rPr>
          <w:rStyle w:val="Rimandonotaapidipagina"/>
          <w:sz w:val="18"/>
          <w:szCs w:val="18"/>
        </w:rPr>
        <w:footnoteRef/>
      </w:r>
      <w:hyperlink r:id="rId17" w:history="1">
        <w:r w:rsidRPr="002512C0">
          <w:rPr>
            <w:rStyle w:val="Collegamentoipertestuale"/>
            <w:sz w:val="18"/>
            <w:szCs w:val="18"/>
          </w:rPr>
          <w:t>http://ldhcibp.wordpress.com/2012/10/10/agrocarburants-le-cadeau-de-54-millions-deuros-au-president-de-la-fnsea/</w:t>
        </w:r>
      </w:hyperlink>
    </w:p>
  </w:footnote>
  <w:footnote w:id="20">
    <w:p w:rsidR="000D49DB" w:rsidRPr="002512C0" w:rsidRDefault="000D49DB" w:rsidP="002512C0">
      <w:pPr>
        <w:pStyle w:val="Nessunaspaziatura"/>
        <w:rPr>
          <w:sz w:val="18"/>
          <w:szCs w:val="18"/>
        </w:rPr>
      </w:pPr>
      <w:r w:rsidRPr="002512C0">
        <w:rPr>
          <w:rStyle w:val="Rimandonotaapidipagina"/>
          <w:sz w:val="18"/>
          <w:szCs w:val="18"/>
        </w:rPr>
        <w:footnoteRef/>
      </w:r>
      <w:hyperlink r:id="rId18" w:history="1">
        <w:r w:rsidRPr="002512C0">
          <w:rPr>
            <w:rStyle w:val="Collegamentoipertestuale"/>
            <w:sz w:val="18"/>
            <w:szCs w:val="18"/>
          </w:rPr>
          <w:t>http://www.res-legal.eu/search-by-country/france/single/s/res-t/t/promotion/aid/biofuel-quota-reduction-of-the-tax-on-polluting-activities-reduction-de-la-taxe-generale-sur-le/lastp/131/</w:t>
        </w:r>
      </w:hyperlink>
    </w:p>
  </w:footnote>
  <w:footnote w:id="21">
    <w:p w:rsidR="005D048A" w:rsidRPr="002512C0" w:rsidRDefault="005D048A" w:rsidP="002512C0">
      <w:pPr>
        <w:pStyle w:val="Nessunaspaziatura"/>
        <w:rPr>
          <w:sz w:val="18"/>
          <w:szCs w:val="18"/>
        </w:rPr>
      </w:pPr>
      <w:r w:rsidRPr="002512C0">
        <w:rPr>
          <w:rStyle w:val="Rimandonotaapidipagina"/>
          <w:sz w:val="18"/>
          <w:szCs w:val="18"/>
        </w:rPr>
        <w:footnoteRef/>
      </w:r>
      <w:hyperlink r:id="rId19" w:history="1">
        <w:r w:rsidRPr="002512C0">
          <w:rPr>
            <w:rStyle w:val="Collegamentoipertestuale"/>
            <w:sz w:val="18"/>
            <w:szCs w:val="18"/>
          </w:rPr>
          <w:t>http://www.ademe.fr/bretagne/upload/communique/fichier/147fichier.pdf</w:t>
        </w:r>
      </w:hyperlink>
    </w:p>
  </w:footnote>
  <w:footnote w:id="22">
    <w:p w:rsidR="005D048A" w:rsidRPr="002512C0" w:rsidRDefault="005D048A" w:rsidP="002512C0">
      <w:pPr>
        <w:pStyle w:val="Nessunaspaziatura"/>
        <w:rPr>
          <w:sz w:val="18"/>
          <w:szCs w:val="18"/>
        </w:rPr>
      </w:pPr>
      <w:r w:rsidRPr="002512C0">
        <w:rPr>
          <w:rStyle w:val="Rimandonotaapidipagina"/>
          <w:sz w:val="18"/>
          <w:szCs w:val="18"/>
        </w:rPr>
        <w:footnoteRef/>
      </w:r>
      <w:hyperlink r:id="rId20" w:history="1">
        <w:r w:rsidRPr="002512C0">
          <w:rPr>
            <w:rStyle w:val="Collegamentoipertestuale"/>
            <w:sz w:val="18"/>
            <w:szCs w:val="18"/>
          </w:rPr>
          <w:t>http://agriculture.gouv.fr/IMG/pdf/plan_lutte_contre_les_algues_vertes_0.pdf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6A6"/>
    <w:multiLevelType w:val="hybridMultilevel"/>
    <w:tmpl w:val="E0B872FE"/>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
    <w:nsid w:val="1F861D52"/>
    <w:multiLevelType w:val="multilevel"/>
    <w:tmpl w:val="18E4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6730C"/>
    <w:multiLevelType w:val="hybridMultilevel"/>
    <w:tmpl w:val="76EA7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CA725D"/>
    <w:multiLevelType w:val="hybridMultilevel"/>
    <w:tmpl w:val="5218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BE3D6A"/>
    <w:multiLevelType w:val="hybridMultilevel"/>
    <w:tmpl w:val="B44E9CDA"/>
    <w:lvl w:ilvl="0" w:tplc="3C8651E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47347D"/>
    <w:multiLevelType w:val="multilevel"/>
    <w:tmpl w:val="B7E6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FC3EE1"/>
    <w:multiLevelType w:val="hybridMultilevel"/>
    <w:tmpl w:val="1D209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72B305A"/>
    <w:multiLevelType w:val="multilevel"/>
    <w:tmpl w:val="78F0F3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AD74E5C"/>
    <w:multiLevelType w:val="hybridMultilevel"/>
    <w:tmpl w:val="C0502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862203"/>
    <w:multiLevelType w:val="multilevel"/>
    <w:tmpl w:val="F7C8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495836"/>
    <w:multiLevelType w:val="hybridMultilevel"/>
    <w:tmpl w:val="470E398C"/>
    <w:lvl w:ilvl="0" w:tplc="08090001">
      <w:start w:val="1"/>
      <w:numFmt w:val="bullet"/>
      <w:lvlText w:val=""/>
      <w:lvlJc w:val="left"/>
      <w:pPr>
        <w:ind w:left="720" w:hanging="360"/>
      </w:pPr>
      <w:rPr>
        <w:rFonts w:ascii="Symbol" w:hAnsi="Symbol" w:hint="default"/>
      </w:rPr>
    </w:lvl>
    <w:lvl w:ilvl="1" w:tplc="3C8651E0">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D25F84"/>
    <w:multiLevelType w:val="hybridMultilevel"/>
    <w:tmpl w:val="E840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8A4A53"/>
    <w:multiLevelType w:val="hybridMultilevel"/>
    <w:tmpl w:val="0B96DE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671ACC"/>
    <w:multiLevelType w:val="hybridMultilevel"/>
    <w:tmpl w:val="4F70E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0223681"/>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220ACF"/>
    <w:multiLevelType w:val="hybridMultilevel"/>
    <w:tmpl w:val="4F141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BC4250"/>
    <w:multiLevelType w:val="hybridMultilevel"/>
    <w:tmpl w:val="C0502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0"/>
  </w:num>
  <w:num w:numId="4">
    <w:abstractNumId w:val="10"/>
  </w:num>
  <w:num w:numId="5">
    <w:abstractNumId w:val="2"/>
  </w:num>
  <w:num w:numId="6">
    <w:abstractNumId w:val="4"/>
  </w:num>
  <w:num w:numId="7">
    <w:abstractNumId w:val="11"/>
  </w:num>
  <w:num w:numId="8">
    <w:abstractNumId w:val="16"/>
  </w:num>
  <w:num w:numId="9">
    <w:abstractNumId w:val="8"/>
  </w:num>
  <w:num w:numId="10">
    <w:abstractNumId w:val="15"/>
  </w:num>
  <w:num w:numId="11">
    <w:abstractNumId w:val="5"/>
  </w:num>
  <w:num w:numId="12">
    <w:abstractNumId w:val="9"/>
  </w:num>
  <w:num w:numId="13">
    <w:abstractNumId w:val="3"/>
  </w:num>
  <w:num w:numId="14">
    <w:abstractNumId w:val="12"/>
  </w:num>
  <w:num w:numId="15">
    <w:abstractNumId w:val="7"/>
  </w:num>
  <w:num w:numId="16">
    <w:abstractNumId w:val="1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hyphenationZone w:val="283"/>
  <w:characterSpacingControl w:val="doNotCompress"/>
  <w:footnotePr>
    <w:footnote w:id="0"/>
    <w:footnote w:id="1"/>
    <w:footnote w:id="2"/>
  </w:footnotePr>
  <w:endnotePr>
    <w:endnote w:id="0"/>
    <w:endnote w:id="1"/>
    <w:endnote w:id="2"/>
  </w:endnotePr>
  <w:compat>
    <w:useFELayout/>
  </w:compat>
  <w:rsids>
    <w:rsidRoot w:val="00CB71EC"/>
    <w:rsid w:val="00005415"/>
    <w:rsid w:val="0000661B"/>
    <w:rsid w:val="00006D60"/>
    <w:rsid w:val="000169D4"/>
    <w:rsid w:val="00017EBA"/>
    <w:rsid w:val="00021AA9"/>
    <w:rsid w:val="0003013D"/>
    <w:rsid w:val="000319F6"/>
    <w:rsid w:val="00035F86"/>
    <w:rsid w:val="000511B6"/>
    <w:rsid w:val="00051ADD"/>
    <w:rsid w:val="00055676"/>
    <w:rsid w:val="00057DBF"/>
    <w:rsid w:val="00061ED4"/>
    <w:rsid w:val="00066473"/>
    <w:rsid w:val="00072A60"/>
    <w:rsid w:val="0007366A"/>
    <w:rsid w:val="00082122"/>
    <w:rsid w:val="0008421D"/>
    <w:rsid w:val="0008724F"/>
    <w:rsid w:val="0009050F"/>
    <w:rsid w:val="00092165"/>
    <w:rsid w:val="00093882"/>
    <w:rsid w:val="000A4D49"/>
    <w:rsid w:val="000A6C27"/>
    <w:rsid w:val="000A7751"/>
    <w:rsid w:val="000A7B14"/>
    <w:rsid w:val="000A7F32"/>
    <w:rsid w:val="000B107C"/>
    <w:rsid w:val="000B5D6C"/>
    <w:rsid w:val="000B6104"/>
    <w:rsid w:val="000B653C"/>
    <w:rsid w:val="000C4409"/>
    <w:rsid w:val="000D2E73"/>
    <w:rsid w:val="000D49DB"/>
    <w:rsid w:val="000D548C"/>
    <w:rsid w:val="000D5BF4"/>
    <w:rsid w:val="000D751F"/>
    <w:rsid w:val="000F1BAB"/>
    <w:rsid w:val="000F4C22"/>
    <w:rsid w:val="000F6096"/>
    <w:rsid w:val="000F6E85"/>
    <w:rsid w:val="001006E4"/>
    <w:rsid w:val="00101D92"/>
    <w:rsid w:val="0010390D"/>
    <w:rsid w:val="001066B9"/>
    <w:rsid w:val="0011040B"/>
    <w:rsid w:val="00111B0F"/>
    <w:rsid w:val="00112069"/>
    <w:rsid w:val="001168DD"/>
    <w:rsid w:val="00116DD9"/>
    <w:rsid w:val="00116FA8"/>
    <w:rsid w:val="00120003"/>
    <w:rsid w:val="00121530"/>
    <w:rsid w:val="00140029"/>
    <w:rsid w:val="00140A58"/>
    <w:rsid w:val="001418AD"/>
    <w:rsid w:val="00142536"/>
    <w:rsid w:val="00146DC2"/>
    <w:rsid w:val="001472BC"/>
    <w:rsid w:val="001509C3"/>
    <w:rsid w:val="00150E52"/>
    <w:rsid w:val="00153D80"/>
    <w:rsid w:val="00162A6C"/>
    <w:rsid w:val="00163934"/>
    <w:rsid w:val="00164421"/>
    <w:rsid w:val="00173A1D"/>
    <w:rsid w:val="00180F3C"/>
    <w:rsid w:val="001857F8"/>
    <w:rsid w:val="001920BE"/>
    <w:rsid w:val="00192408"/>
    <w:rsid w:val="001A1858"/>
    <w:rsid w:val="001A40DC"/>
    <w:rsid w:val="001B0432"/>
    <w:rsid w:val="001B48C9"/>
    <w:rsid w:val="001B7CA6"/>
    <w:rsid w:val="001C4A8E"/>
    <w:rsid w:val="001C4D51"/>
    <w:rsid w:val="001E1ED8"/>
    <w:rsid w:val="001E2E65"/>
    <w:rsid w:val="001E3ED0"/>
    <w:rsid w:val="001E41EB"/>
    <w:rsid w:val="001F7FC9"/>
    <w:rsid w:val="0020326B"/>
    <w:rsid w:val="00211A21"/>
    <w:rsid w:val="00215827"/>
    <w:rsid w:val="0021670E"/>
    <w:rsid w:val="00217F4A"/>
    <w:rsid w:val="002211F4"/>
    <w:rsid w:val="0022140C"/>
    <w:rsid w:val="00222016"/>
    <w:rsid w:val="00227029"/>
    <w:rsid w:val="002278F6"/>
    <w:rsid w:val="00233B90"/>
    <w:rsid w:val="00235D6E"/>
    <w:rsid w:val="002370B1"/>
    <w:rsid w:val="0024039D"/>
    <w:rsid w:val="00241232"/>
    <w:rsid w:val="00241FAD"/>
    <w:rsid w:val="00243892"/>
    <w:rsid w:val="00246EA9"/>
    <w:rsid w:val="002512C0"/>
    <w:rsid w:val="0026164B"/>
    <w:rsid w:val="00261A95"/>
    <w:rsid w:val="00265043"/>
    <w:rsid w:val="00267B98"/>
    <w:rsid w:val="00271222"/>
    <w:rsid w:val="00281872"/>
    <w:rsid w:val="002908E9"/>
    <w:rsid w:val="00291341"/>
    <w:rsid w:val="00293995"/>
    <w:rsid w:val="002A185D"/>
    <w:rsid w:val="002A4214"/>
    <w:rsid w:val="002A6EA1"/>
    <w:rsid w:val="002B18D5"/>
    <w:rsid w:val="002B6101"/>
    <w:rsid w:val="002C19A9"/>
    <w:rsid w:val="002C6670"/>
    <w:rsid w:val="002D05B5"/>
    <w:rsid w:val="002D332D"/>
    <w:rsid w:val="002D518B"/>
    <w:rsid w:val="002E59D1"/>
    <w:rsid w:val="002E6A39"/>
    <w:rsid w:val="002F1D9D"/>
    <w:rsid w:val="002F35E9"/>
    <w:rsid w:val="003013D3"/>
    <w:rsid w:val="00306F5C"/>
    <w:rsid w:val="00311AA8"/>
    <w:rsid w:val="00312CB0"/>
    <w:rsid w:val="0031695E"/>
    <w:rsid w:val="003202E3"/>
    <w:rsid w:val="00322689"/>
    <w:rsid w:val="0032370A"/>
    <w:rsid w:val="00323C15"/>
    <w:rsid w:val="00327B85"/>
    <w:rsid w:val="003318AC"/>
    <w:rsid w:val="003319C1"/>
    <w:rsid w:val="00334284"/>
    <w:rsid w:val="00361870"/>
    <w:rsid w:val="003675C4"/>
    <w:rsid w:val="00370526"/>
    <w:rsid w:val="00373452"/>
    <w:rsid w:val="00375465"/>
    <w:rsid w:val="0037565B"/>
    <w:rsid w:val="00377B29"/>
    <w:rsid w:val="0038244E"/>
    <w:rsid w:val="00384030"/>
    <w:rsid w:val="00391AC8"/>
    <w:rsid w:val="003930F3"/>
    <w:rsid w:val="00395E68"/>
    <w:rsid w:val="00397E44"/>
    <w:rsid w:val="003A0EEE"/>
    <w:rsid w:val="003B2EA2"/>
    <w:rsid w:val="003B51CC"/>
    <w:rsid w:val="003C0FF9"/>
    <w:rsid w:val="003D7EF9"/>
    <w:rsid w:val="003E0D5F"/>
    <w:rsid w:val="003E50CC"/>
    <w:rsid w:val="003E5A8E"/>
    <w:rsid w:val="003F7C05"/>
    <w:rsid w:val="00400884"/>
    <w:rsid w:val="00401BC9"/>
    <w:rsid w:val="00402DA0"/>
    <w:rsid w:val="00404879"/>
    <w:rsid w:val="004066E2"/>
    <w:rsid w:val="0040724B"/>
    <w:rsid w:val="00410B39"/>
    <w:rsid w:val="004315B0"/>
    <w:rsid w:val="00437D53"/>
    <w:rsid w:val="00441A17"/>
    <w:rsid w:val="0045524E"/>
    <w:rsid w:val="00455903"/>
    <w:rsid w:val="00456EBE"/>
    <w:rsid w:val="00460C9E"/>
    <w:rsid w:val="004628E9"/>
    <w:rsid w:val="00465F08"/>
    <w:rsid w:val="004702AE"/>
    <w:rsid w:val="00481D1F"/>
    <w:rsid w:val="00492E64"/>
    <w:rsid w:val="004975B0"/>
    <w:rsid w:val="00497753"/>
    <w:rsid w:val="004A6C68"/>
    <w:rsid w:val="004A7575"/>
    <w:rsid w:val="004B5227"/>
    <w:rsid w:val="004B55AA"/>
    <w:rsid w:val="004B7D7F"/>
    <w:rsid w:val="004C271D"/>
    <w:rsid w:val="004C2903"/>
    <w:rsid w:val="004C304E"/>
    <w:rsid w:val="004D0066"/>
    <w:rsid w:val="004D287A"/>
    <w:rsid w:val="004D5A94"/>
    <w:rsid w:val="004E1206"/>
    <w:rsid w:val="004F724A"/>
    <w:rsid w:val="00502235"/>
    <w:rsid w:val="00503BE6"/>
    <w:rsid w:val="005101C6"/>
    <w:rsid w:val="005163DE"/>
    <w:rsid w:val="00520500"/>
    <w:rsid w:val="005211C2"/>
    <w:rsid w:val="005229C4"/>
    <w:rsid w:val="00522DDE"/>
    <w:rsid w:val="00540E79"/>
    <w:rsid w:val="00551E4C"/>
    <w:rsid w:val="005605B2"/>
    <w:rsid w:val="0056284B"/>
    <w:rsid w:val="00570E88"/>
    <w:rsid w:val="0057155D"/>
    <w:rsid w:val="00581B0E"/>
    <w:rsid w:val="00585FB0"/>
    <w:rsid w:val="005860D9"/>
    <w:rsid w:val="00591158"/>
    <w:rsid w:val="00593FDB"/>
    <w:rsid w:val="005963E4"/>
    <w:rsid w:val="005A177D"/>
    <w:rsid w:val="005A1EB8"/>
    <w:rsid w:val="005A438E"/>
    <w:rsid w:val="005B0321"/>
    <w:rsid w:val="005B0614"/>
    <w:rsid w:val="005B1D4C"/>
    <w:rsid w:val="005B2972"/>
    <w:rsid w:val="005B3A57"/>
    <w:rsid w:val="005B4DDA"/>
    <w:rsid w:val="005B5320"/>
    <w:rsid w:val="005B6511"/>
    <w:rsid w:val="005B7961"/>
    <w:rsid w:val="005D048A"/>
    <w:rsid w:val="005E2607"/>
    <w:rsid w:val="005E51F2"/>
    <w:rsid w:val="005E6EF3"/>
    <w:rsid w:val="005F0E0D"/>
    <w:rsid w:val="005F2B37"/>
    <w:rsid w:val="00602644"/>
    <w:rsid w:val="00603176"/>
    <w:rsid w:val="00605AFB"/>
    <w:rsid w:val="0061121F"/>
    <w:rsid w:val="00623D70"/>
    <w:rsid w:val="00625E2C"/>
    <w:rsid w:val="00625FBD"/>
    <w:rsid w:val="00645647"/>
    <w:rsid w:val="00654EB0"/>
    <w:rsid w:val="0065582D"/>
    <w:rsid w:val="00656007"/>
    <w:rsid w:val="00656970"/>
    <w:rsid w:val="006677CE"/>
    <w:rsid w:val="006769DA"/>
    <w:rsid w:val="00683E25"/>
    <w:rsid w:val="006914F0"/>
    <w:rsid w:val="006930C6"/>
    <w:rsid w:val="006A251B"/>
    <w:rsid w:val="006A58FF"/>
    <w:rsid w:val="006B314A"/>
    <w:rsid w:val="006B49FD"/>
    <w:rsid w:val="006B612C"/>
    <w:rsid w:val="006B7200"/>
    <w:rsid w:val="006D1FD5"/>
    <w:rsid w:val="006D4331"/>
    <w:rsid w:val="006F68F4"/>
    <w:rsid w:val="007079A3"/>
    <w:rsid w:val="0071277D"/>
    <w:rsid w:val="00713059"/>
    <w:rsid w:val="007131B7"/>
    <w:rsid w:val="0072041A"/>
    <w:rsid w:val="00721728"/>
    <w:rsid w:val="007261BA"/>
    <w:rsid w:val="0073036A"/>
    <w:rsid w:val="00730EDF"/>
    <w:rsid w:val="00731959"/>
    <w:rsid w:val="007331CB"/>
    <w:rsid w:val="0074347A"/>
    <w:rsid w:val="0074461D"/>
    <w:rsid w:val="007447EF"/>
    <w:rsid w:val="00745601"/>
    <w:rsid w:val="0074610B"/>
    <w:rsid w:val="0075532A"/>
    <w:rsid w:val="00755C85"/>
    <w:rsid w:val="0075673C"/>
    <w:rsid w:val="007567AC"/>
    <w:rsid w:val="00756C05"/>
    <w:rsid w:val="007613B0"/>
    <w:rsid w:val="0078124A"/>
    <w:rsid w:val="007828ED"/>
    <w:rsid w:val="007869F2"/>
    <w:rsid w:val="007957D6"/>
    <w:rsid w:val="007A4368"/>
    <w:rsid w:val="007A5662"/>
    <w:rsid w:val="007B18B4"/>
    <w:rsid w:val="007B2E53"/>
    <w:rsid w:val="007B34F3"/>
    <w:rsid w:val="007B4C7D"/>
    <w:rsid w:val="007B755C"/>
    <w:rsid w:val="007C37AE"/>
    <w:rsid w:val="007C49AE"/>
    <w:rsid w:val="007D1020"/>
    <w:rsid w:val="007D1E1C"/>
    <w:rsid w:val="007D5AFF"/>
    <w:rsid w:val="007E063F"/>
    <w:rsid w:val="007E3AA4"/>
    <w:rsid w:val="007E768D"/>
    <w:rsid w:val="007F18FC"/>
    <w:rsid w:val="007F294F"/>
    <w:rsid w:val="007F4605"/>
    <w:rsid w:val="007F581B"/>
    <w:rsid w:val="007F732C"/>
    <w:rsid w:val="00810AB1"/>
    <w:rsid w:val="008146D1"/>
    <w:rsid w:val="0081523D"/>
    <w:rsid w:val="00820BC5"/>
    <w:rsid w:val="0083189A"/>
    <w:rsid w:val="00831A4A"/>
    <w:rsid w:val="0083737A"/>
    <w:rsid w:val="00837A48"/>
    <w:rsid w:val="008439E7"/>
    <w:rsid w:val="00844336"/>
    <w:rsid w:val="00852E29"/>
    <w:rsid w:val="0085301C"/>
    <w:rsid w:val="0085488E"/>
    <w:rsid w:val="00862288"/>
    <w:rsid w:val="00866146"/>
    <w:rsid w:val="00866D21"/>
    <w:rsid w:val="00867220"/>
    <w:rsid w:val="0087036B"/>
    <w:rsid w:val="0087303F"/>
    <w:rsid w:val="00876364"/>
    <w:rsid w:val="0087673C"/>
    <w:rsid w:val="00877659"/>
    <w:rsid w:val="008828CA"/>
    <w:rsid w:val="00883F3D"/>
    <w:rsid w:val="008A3609"/>
    <w:rsid w:val="008C7792"/>
    <w:rsid w:val="008D0D6F"/>
    <w:rsid w:val="008D1F41"/>
    <w:rsid w:val="008D1F97"/>
    <w:rsid w:val="008D385D"/>
    <w:rsid w:val="008D444E"/>
    <w:rsid w:val="008D53B8"/>
    <w:rsid w:val="008D5733"/>
    <w:rsid w:val="008D5CBD"/>
    <w:rsid w:val="008D5D35"/>
    <w:rsid w:val="008D7C1E"/>
    <w:rsid w:val="008E681A"/>
    <w:rsid w:val="008E69A2"/>
    <w:rsid w:val="008F1660"/>
    <w:rsid w:val="008F4D52"/>
    <w:rsid w:val="008F72BF"/>
    <w:rsid w:val="008F72DC"/>
    <w:rsid w:val="00901EDF"/>
    <w:rsid w:val="00903455"/>
    <w:rsid w:val="00905295"/>
    <w:rsid w:val="00905AFA"/>
    <w:rsid w:val="00910580"/>
    <w:rsid w:val="00917C20"/>
    <w:rsid w:val="009219D8"/>
    <w:rsid w:val="00925C45"/>
    <w:rsid w:val="00932392"/>
    <w:rsid w:val="009327CB"/>
    <w:rsid w:val="00934AB8"/>
    <w:rsid w:val="00940C4F"/>
    <w:rsid w:val="00944CCC"/>
    <w:rsid w:val="009511EA"/>
    <w:rsid w:val="00956B27"/>
    <w:rsid w:val="00966006"/>
    <w:rsid w:val="00967992"/>
    <w:rsid w:val="00981ACE"/>
    <w:rsid w:val="00982FF4"/>
    <w:rsid w:val="00983810"/>
    <w:rsid w:val="00984EC6"/>
    <w:rsid w:val="00984F0A"/>
    <w:rsid w:val="0098521D"/>
    <w:rsid w:val="00991058"/>
    <w:rsid w:val="00996C34"/>
    <w:rsid w:val="00997BB4"/>
    <w:rsid w:val="009A0D02"/>
    <w:rsid w:val="009A4219"/>
    <w:rsid w:val="009A7F22"/>
    <w:rsid w:val="009A7FF9"/>
    <w:rsid w:val="009C7A03"/>
    <w:rsid w:val="009D2EE4"/>
    <w:rsid w:val="009D5344"/>
    <w:rsid w:val="009D56DA"/>
    <w:rsid w:val="009D5E42"/>
    <w:rsid w:val="009D6AD6"/>
    <w:rsid w:val="009E4F72"/>
    <w:rsid w:val="009E52A8"/>
    <w:rsid w:val="009E7498"/>
    <w:rsid w:val="009F2289"/>
    <w:rsid w:val="009F3806"/>
    <w:rsid w:val="009F5051"/>
    <w:rsid w:val="009F719B"/>
    <w:rsid w:val="00A066B5"/>
    <w:rsid w:val="00A11984"/>
    <w:rsid w:val="00A154B2"/>
    <w:rsid w:val="00A1611C"/>
    <w:rsid w:val="00A165DA"/>
    <w:rsid w:val="00A2010E"/>
    <w:rsid w:val="00A227B0"/>
    <w:rsid w:val="00A24B8E"/>
    <w:rsid w:val="00A26644"/>
    <w:rsid w:val="00A26E01"/>
    <w:rsid w:val="00A328B9"/>
    <w:rsid w:val="00A34DD0"/>
    <w:rsid w:val="00A4039D"/>
    <w:rsid w:val="00A41D87"/>
    <w:rsid w:val="00A42473"/>
    <w:rsid w:val="00A56679"/>
    <w:rsid w:val="00A605E4"/>
    <w:rsid w:val="00A640A6"/>
    <w:rsid w:val="00A70699"/>
    <w:rsid w:val="00A7647C"/>
    <w:rsid w:val="00A77213"/>
    <w:rsid w:val="00A824F3"/>
    <w:rsid w:val="00A82B30"/>
    <w:rsid w:val="00A83F44"/>
    <w:rsid w:val="00A842B1"/>
    <w:rsid w:val="00A9275D"/>
    <w:rsid w:val="00A9394D"/>
    <w:rsid w:val="00A94271"/>
    <w:rsid w:val="00AA44A9"/>
    <w:rsid w:val="00AB0962"/>
    <w:rsid w:val="00AB22A7"/>
    <w:rsid w:val="00AB25F8"/>
    <w:rsid w:val="00AB34B9"/>
    <w:rsid w:val="00AB713E"/>
    <w:rsid w:val="00AC626C"/>
    <w:rsid w:val="00AD01E5"/>
    <w:rsid w:val="00AD6FF5"/>
    <w:rsid w:val="00AF1594"/>
    <w:rsid w:val="00AF57A9"/>
    <w:rsid w:val="00AF6E9B"/>
    <w:rsid w:val="00B006D9"/>
    <w:rsid w:val="00B04F36"/>
    <w:rsid w:val="00B101ED"/>
    <w:rsid w:val="00B11C38"/>
    <w:rsid w:val="00B16CB7"/>
    <w:rsid w:val="00B17292"/>
    <w:rsid w:val="00B209A2"/>
    <w:rsid w:val="00B23399"/>
    <w:rsid w:val="00B263F5"/>
    <w:rsid w:val="00B26676"/>
    <w:rsid w:val="00B32812"/>
    <w:rsid w:val="00B376BE"/>
    <w:rsid w:val="00B409C5"/>
    <w:rsid w:val="00B40D07"/>
    <w:rsid w:val="00B41D92"/>
    <w:rsid w:val="00B5159D"/>
    <w:rsid w:val="00B549D9"/>
    <w:rsid w:val="00B56092"/>
    <w:rsid w:val="00B640DA"/>
    <w:rsid w:val="00B74FF8"/>
    <w:rsid w:val="00B75D81"/>
    <w:rsid w:val="00B8104D"/>
    <w:rsid w:val="00B8299B"/>
    <w:rsid w:val="00B94991"/>
    <w:rsid w:val="00BA2BD7"/>
    <w:rsid w:val="00BB17A4"/>
    <w:rsid w:val="00BB3732"/>
    <w:rsid w:val="00BB6CF9"/>
    <w:rsid w:val="00BB7EE4"/>
    <w:rsid w:val="00BC0B93"/>
    <w:rsid w:val="00BC43EB"/>
    <w:rsid w:val="00BD1597"/>
    <w:rsid w:val="00BD273D"/>
    <w:rsid w:val="00BE2759"/>
    <w:rsid w:val="00BE762F"/>
    <w:rsid w:val="00BF22EB"/>
    <w:rsid w:val="00BF7152"/>
    <w:rsid w:val="00C06E8F"/>
    <w:rsid w:val="00C0753B"/>
    <w:rsid w:val="00C20166"/>
    <w:rsid w:val="00C202A4"/>
    <w:rsid w:val="00C2030C"/>
    <w:rsid w:val="00C20F42"/>
    <w:rsid w:val="00C25237"/>
    <w:rsid w:val="00C452E5"/>
    <w:rsid w:val="00C5138F"/>
    <w:rsid w:val="00C53710"/>
    <w:rsid w:val="00C53CAE"/>
    <w:rsid w:val="00C66A3D"/>
    <w:rsid w:val="00C81A06"/>
    <w:rsid w:val="00C81FF4"/>
    <w:rsid w:val="00C85EB9"/>
    <w:rsid w:val="00C92B11"/>
    <w:rsid w:val="00CA0C4B"/>
    <w:rsid w:val="00CA15B3"/>
    <w:rsid w:val="00CA5DC2"/>
    <w:rsid w:val="00CA6E49"/>
    <w:rsid w:val="00CB3430"/>
    <w:rsid w:val="00CB494B"/>
    <w:rsid w:val="00CB71EC"/>
    <w:rsid w:val="00CB75F9"/>
    <w:rsid w:val="00CC3CE5"/>
    <w:rsid w:val="00CC5B2B"/>
    <w:rsid w:val="00CC5B42"/>
    <w:rsid w:val="00CD05A0"/>
    <w:rsid w:val="00CD340E"/>
    <w:rsid w:val="00CD48A4"/>
    <w:rsid w:val="00CD5923"/>
    <w:rsid w:val="00CE1B38"/>
    <w:rsid w:val="00CE2786"/>
    <w:rsid w:val="00CE4CDD"/>
    <w:rsid w:val="00CF3008"/>
    <w:rsid w:val="00CF6121"/>
    <w:rsid w:val="00D053C0"/>
    <w:rsid w:val="00D06552"/>
    <w:rsid w:val="00D101AE"/>
    <w:rsid w:val="00D11ADC"/>
    <w:rsid w:val="00D15E58"/>
    <w:rsid w:val="00D25915"/>
    <w:rsid w:val="00D27A07"/>
    <w:rsid w:val="00D27F81"/>
    <w:rsid w:val="00D303D8"/>
    <w:rsid w:val="00D311C0"/>
    <w:rsid w:val="00D349FC"/>
    <w:rsid w:val="00D35A17"/>
    <w:rsid w:val="00D444F8"/>
    <w:rsid w:val="00D47340"/>
    <w:rsid w:val="00D5197A"/>
    <w:rsid w:val="00D55D20"/>
    <w:rsid w:val="00D55FE7"/>
    <w:rsid w:val="00D56BB1"/>
    <w:rsid w:val="00D57577"/>
    <w:rsid w:val="00D72AD5"/>
    <w:rsid w:val="00D73110"/>
    <w:rsid w:val="00D84421"/>
    <w:rsid w:val="00D86197"/>
    <w:rsid w:val="00D8653E"/>
    <w:rsid w:val="00D87C02"/>
    <w:rsid w:val="00D9012A"/>
    <w:rsid w:val="00D937C0"/>
    <w:rsid w:val="00D96832"/>
    <w:rsid w:val="00D9683D"/>
    <w:rsid w:val="00D9721C"/>
    <w:rsid w:val="00DA57F9"/>
    <w:rsid w:val="00DB29A8"/>
    <w:rsid w:val="00DC0AA1"/>
    <w:rsid w:val="00DC4161"/>
    <w:rsid w:val="00DC6967"/>
    <w:rsid w:val="00DE0E31"/>
    <w:rsid w:val="00DF0033"/>
    <w:rsid w:val="00DF3BBD"/>
    <w:rsid w:val="00DF5EA1"/>
    <w:rsid w:val="00DF7EDF"/>
    <w:rsid w:val="00E03253"/>
    <w:rsid w:val="00E03DCF"/>
    <w:rsid w:val="00E055C4"/>
    <w:rsid w:val="00E06B53"/>
    <w:rsid w:val="00E07F57"/>
    <w:rsid w:val="00E113DA"/>
    <w:rsid w:val="00E11877"/>
    <w:rsid w:val="00E1202D"/>
    <w:rsid w:val="00E16F56"/>
    <w:rsid w:val="00E20ACC"/>
    <w:rsid w:val="00E2362D"/>
    <w:rsid w:val="00E24D01"/>
    <w:rsid w:val="00E27935"/>
    <w:rsid w:val="00E27ADD"/>
    <w:rsid w:val="00E307A8"/>
    <w:rsid w:val="00E30CCC"/>
    <w:rsid w:val="00E358B3"/>
    <w:rsid w:val="00E42965"/>
    <w:rsid w:val="00E5360D"/>
    <w:rsid w:val="00E540BC"/>
    <w:rsid w:val="00E541D4"/>
    <w:rsid w:val="00E541ED"/>
    <w:rsid w:val="00E57305"/>
    <w:rsid w:val="00E57C46"/>
    <w:rsid w:val="00E64812"/>
    <w:rsid w:val="00E65C6F"/>
    <w:rsid w:val="00E66A6A"/>
    <w:rsid w:val="00E7294D"/>
    <w:rsid w:val="00E74D98"/>
    <w:rsid w:val="00E7722C"/>
    <w:rsid w:val="00E805A2"/>
    <w:rsid w:val="00E911BC"/>
    <w:rsid w:val="00E9154B"/>
    <w:rsid w:val="00E96C55"/>
    <w:rsid w:val="00E97823"/>
    <w:rsid w:val="00EA1E78"/>
    <w:rsid w:val="00EA4581"/>
    <w:rsid w:val="00EB3360"/>
    <w:rsid w:val="00EB5192"/>
    <w:rsid w:val="00EC114B"/>
    <w:rsid w:val="00EC123F"/>
    <w:rsid w:val="00EC277C"/>
    <w:rsid w:val="00EC27F0"/>
    <w:rsid w:val="00EC3B3D"/>
    <w:rsid w:val="00ED1771"/>
    <w:rsid w:val="00ED2480"/>
    <w:rsid w:val="00ED6A1E"/>
    <w:rsid w:val="00EE03B8"/>
    <w:rsid w:val="00EE07AA"/>
    <w:rsid w:val="00EE3A15"/>
    <w:rsid w:val="00EE76FF"/>
    <w:rsid w:val="00EE7D29"/>
    <w:rsid w:val="00EF0858"/>
    <w:rsid w:val="00EF17DA"/>
    <w:rsid w:val="00EF20CC"/>
    <w:rsid w:val="00EF2754"/>
    <w:rsid w:val="00EF3801"/>
    <w:rsid w:val="00EF4766"/>
    <w:rsid w:val="00EF5922"/>
    <w:rsid w:val="00EF6136"/>
    <w:rsid w:val="00F046F6"/>
    <w:rsid w:val="00F06E51"/>
    <w:rsid w:val="00F13BD6"/>
    <w:rsid w:val="00F2514B"/>
    <w:rsid w:val="00F2783C"/>
    <w:rsid w:val="00F33FD7"/>
    <w:rsid w:val="00F35839"/>
    <w:rsid w:val="00F36A56"/>
    <w:rsid w:val="00F42A07"/>
    <w:rsid w:val="00F5712D"/>
    <w:rsid w:val="00F620CD"/>
    <w:rsid w:val="00F626BD"/>
    <w:rsid w:val="00F65463"/>
    <w:rsid w:val="00F71EF2"/>
    <w:rsid w:val="00F75D1E"/>
    <w:rsid w:val="00F75D98"/>
    <w:rsid w:val="00F82E2D"/>
    <w:rsid w:val="00F8515C"/>
    <w:rsid w:val="00F90B50"/>
    <w:rsid w:val="00F937BE"/>
    <w:rsid w:val="00F97B79"/>
    <w:rsid w:val="00FA0AAF"/>
    <w:rsid w:val="00FA1DCF"/>
    <w:rsid w:val="00FA60EA"/>
    <w:rsid w:val="00FB31D4"/>
    <w:rsid w:val="00FC02C4"/>
    <w:rsid w:val="00FC12CE"/>
    <w:rsid w:val="00FC27F2"/>
    <w:rsid w:val="00FD0495"/>
    <w:rsid w:val="00FD156F"/>
    <w:rsid w:val="00FD3560"/>
    <w:rsid w:val="00FD63BE"/>
    <w:rsid w:val="00FD7E79"/>
    <w:rsid w:val="00FE4F5B"/>
    <w:rsid w:val="00FE4FA2"/>
    <w:rsid w:val="00FE5D92"/>
    <w:rsid w:val="00FF58BA"/>
    <w:rsid w:val="00FF6C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1E78"/>
    <w:rPr>
      <w:sz w:val="22"/>
    </w:rPr>
  </w:style>
  <w:style w:type="paragraph" w:styleId="Titolo1">
    <w:name w:val="heading 1"/>
    <w:basedOn w:val="Normale"/>
    <w:next w:val="Normale"/>
    <w:link w:val="Titolo1Carattere"/>
    <w:uiPriority w:val="9"/>
    <w:qFormat/>
    <w:rsid w:val="00E5360D"/>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E5360D"/>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E5360D"/>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E5360D"/>
    <w:pPr>
      <w:spacing w:before="240" w:after="0"/>
      <w:jc w:val="left"/>
      <w:outlineLvl w:val="3"/>
    </w:pPr>
    <w:rPr>
      <w:smallCaps/>
      <w:spacing w:val="10"/>
      <w:szCs w:val="22"/>
    </w:rPr>
  </w:style>
  <w:style w:type="paragraph" w:styleId="Titolo5">
    <w:name w:val="heading 5"/>
    <w:basedOn w:val="Normale"/>
    <w:next w:val="Normale"/>
    <w:link w:val="Titolo5Carattere"/>
    <w:uiPriority w:val="9"/>
    <w:semiHidden/>
    <w:unhideWhenUsed/>
    <w:qFormat/>
    <w:rsid w:val="00E5360D"/>
    <w:pPr>
      <w:spacing w:before="200" w:after="0"/>
      <w:jc w:val="left"/>
      <w:outlineLvl w:val="4"/>
    </w:pPr>
    <w:rPr>
      <w:smallCaps/>
      <w:color w:val="943634" w:themeColor="accent2" w:themeShade="BF"/>
      <w:spacing w:val="10"/>
      <w:szCs w:val="26"/>
    </w:rPr>
  </w:style>
  <w:style w:type="paragraph" w:styleId="Titolo6">
    <w:name w:val="heading 6"/>
    <w:basedOn w:val="Normale"/>
    <w:next w:val="Normale"/>
    <w:link w:val="Titolo6Carattere"/>
    <w:uiPriority w:val="9"/>
    <w:semiHidden/>
    <w:unhideWhenUsed/>
    <w:qFormat/>
    <w:rsid w:val="00E5360D"/>
    <w:pPr>
      <w:spacing w:after="0"/>
      <w:jc w:val="left"/>
      <w:outlineLvl w:val="5"/>
    </w:pPr>
    <w:rPr>
      <w:smallCaps/>
      <w:color w:val="C0504D" w:themeColor="accent2"/>
      <w:spacing w:val="5"/>
    </w:rPr>
  </w:style>
  <w:style w:type="paragraph" w:styleId="Titolo7">
    <w:name w:val="heading 7"/>
    <w:basedOn w:val="Normale"/>
    <w:next w:val="Normale"/>
    <w:link w:val="Titolo7Carattere"/>
    <w:uiPriority w:val="9"/>
    <w:semiHidden/>
    <w:unhideWhenUsed/>
    <w:qFormat/>
    <w:rsid w:val="00E5360D"/>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E5360D"/>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E5360D"/>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B7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CB71EC"/>
    <w:rPr>
      <w:color w:val="0000FF" w:themeColor="hyperlink"/>
      <w:u w:val="single"/>
    </w:rPr>
  </w:style>
  <w:style w:type="paragraph" w:styleId="Testonotaapidipagina">
    <w:name w:val="footnote text"/>
    <w:basedOn w:val="Normale"/>
    <w:link w:val="TestonotaapidipaginaCarattere"/>
    <w:uiPriority w:val="99"/>
    <w:semiHidden/>
    <w:unhideWhenUsed/>
    <w:rsid w:val="00CB71EC"/>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B71EC"/>
    <w:rPr>
      <w:sz w:val="20"/>
      <w:szCs w:val="20"/>
    </w:rPr>
  </w:style>
  <w:style w:type="character" w:styleId="Rimandonotaapidipagina">
    <w:name w:val="footnote reference"/>
    <w:basedOn w:val="Carpredefinitoparagrafo"/>
    <w:uiPriority w:val="99"/>
    <w:semiHidden/>
    <w:unhideWhenUsed/>
    <w:rsid w:val="00CB71EC"/>
    <w:rPr>
      <w:vertAlign w:val="superscript"/>
    </w:rPr>
  </w:style>
  <w:style w:type="character" w:customStyle="1" w:styleId="Titolo1Carattere">
    <w:name w:val="Titolo 1 Carattere"/>
    <w:basedOn w:val="Carpredefinitoparagrafo"/>
    <w:link w:val="Titolo1"/>
    <w:uiPriority w:val="9"/>
    <w:rsid w:val="00E5360D"/>
    <w:rPr>
      <w:smallCaps/>
      <w:spacing w:val="5"/>
      <w:sz w:val="32"/>
      <w:szCs w:val="32"/>
    </w:rPr>
  </w:style>
  <w:style w:type="paragraph" w:styleId="Intestazione">
    <w:name w:val="header"/>
    <w:basedOn w:val="Normale"/>
    <w:link w:val="IntestazioneCarattere"/>
    <w:uiPriority w:val="99"/>
    <w:unhideWhenUsed/>
    <w:rsid w:val="0016393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163934"/>
  </w:style>
  <w:style w:type="paragraph" w:styleId="Pidipagina">
    <w:name w:val="footer"/>
    <w:basedOn w:val="Normale"/>
    <w:link w:val="PidipaginaCarattere"/>
    <w:uiPriority w:val="99"/>
    <w:unhideWhenUsed/>
    <w:rsid w:val="0016393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163934"/>
  </w:style>
  <w:style w:type="character" w:styleId="Collegamentovisitato">
    <w:name w:val="FollowedHyperlink"/>
    <w:basedOn w:val="Carpredefinitoparagrafo"/>
    <w:uiPriority w:val="99"/>
    <w:semiHidden/>
    <w:unhideWhenUsed/>
    <w:rsid w:val="000B6104"/>
    <w:rPr>
      <w:color w:val="800080" w:themeColor="followedHyperlink"/>
      <w:u w:val="single"/>
    </w:rPr>
  </w:style>
  <w:style w:type="character" w:customStyle="1" w:styleId="notranslate">
    <w:name w:val="notranslate"/>
    <w:basedOn w:val="Carpredefinitoparagrafo"/>
    <w:rsid w:val="000B6104"/>
  </w:style>
  <w:style w:type="character" w:styleId="Enfasigrassetto">
    <w:name w:val="Strong"/>
    <w:uiPriority w:val="22"/>
    <w:qFormat/>
    <w:rsid w:val="00E5360D"/>
    <w:rPr>
      <w:b/>
      <w:color w:val="C0504D" w:themeColor="accent2"/>
    </w:rPr>
  </w:style>
  <w:style w:type="paragraph" w:styleId="Paragrafoelenco">
    <w:name w:val="List Paragraph"/>
    <w:basedOn w:val="Normale"/>
    <w:uiPriority w:val="34"/>
    <w:qFormat/>
    <w:rsid w:val="00E5360D"/>
    <w:pPr>
      <w:ind w:left="720"/>
      <w:contextualSpacing/>
    </w:pPr>
  </w:style>
  <w:style w:type="paragraph" w:styleId="Nessunaspaziatura">
    <w:name w:val="No Spacing"/>
    <w:basedOn w:val="Normale"/>
    <w:link w:val="NessunaspaziaturaCarattere"/>
    <w:uiPriority w:val="1"/>
    <w:qFormat/>
    <w:rsid w:val="00A1611C"/>
    <w:pPr>
      <w:spacing w:after="0" w:line="240" w:lineRule="auto"/>
      <w:jc w:val="left"/>
    </w:pPr>
  </w:style>
  <w:style w:type="character" w:customStyle="1" w:styleId="Titolo2Carattere">
    <w:name w:val="Titolo 2 Carattere"/>
    <w:basedOn w:val="Carpredefinitoparagrafo"/>
    <w:link w:val="Titolo2"/>
    <w:uiPriority w:val="9"/>
    <w:rsid w:val="00E5360D"/>
    <w:rPr>
      <w:smallCaps/>
      <w:spacing w:val="5"/>
      <w:sz w:val="28"/>
      <w:szCs w:val="28"/>
    </w:rPr>
  </w:style>
  <w:style w:type="paragraph" w:customStyle="1" w:styleId="them3">
    <w:name w:val="them3"/>
    <w:basedOn w:val="Normale"/>
    <w:rsid w:val="008F72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eWeb">
    <w:name w:val="Normal (Web)"/>
    <w:basedOn w:val="Normale"/>
    <w:uiPriority w:val="99"/>
    <w:semiHidden/>
    <w:unhideWhenUsed/>
    <w:rsid w:val="00996C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ps">
    <w:name w:val="hps"/>
    <w:basedOn w:val="Carpredefinitoparagrafo"/>
    <w:rsid w:val="00967992"/>
  </w:style>
  <w:style w:type="paragraph" w:styleId="Titolo">
    <w:name w:val="Title"/>
    <w:basedOn w:val="Normale"/>
    <w:next w:val="Normale"/>
    <w:link w:val="TitoloCarattere"/>
    <w:uiPriority w:val="10"/>
    <w:qFormat/>
    <w:rsid w:val="00E5360D"/>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E5360D"/>
    <w:rPr>
      <w:smallCaps/>
      <w:sz w:val="48"/>
      <w:szCs w:val="48"/>
    </w:rPr>
  </w:style>
  <w:style w:type="character" w:customStyle="1" w:styleId="Titolo3Carattere">
    <w:name w:val="Titolo 3 Carattere"/>
    <w:basedOn w:val="Carpredefinitoparagrafo"/>
    <w:link w:val="Titolo3"/>
    <w:uiPriority w:val="9"/>
    <w:semiHidden/>
    <w:rsid w:val="00E5360D"/>
    <w:rPr>
      <w:smallCaps/>
      <w:spacing w:val="5"/>
      <w:sz w:val="24"/>
      <w:szCs w:val="24"/>
    </w:rPr>
  </w:style>
  <w:style w:type="character" w:customStyle="1" w:styleId="Titolo4Carattere">
    <w:name w:val="Titolo 4 Carattere"/>
    <w:basedOn w:val="Carpredefinitoparagrafo"/>
    <w:link w:val="Titolo4"/>
    <w:uiPriority w:val="9"/>
    <w:semiHidden/>
    <w:rsid w:val="00E5360D"/>
    <w:rPr>
      <w:smallCaps/>
      <w:spacing w:val="10"/>
      <w:sz w:val="22"/>
      <w:szCs w:val="22"/>
    </w:rPr>
  </w:style>
  <w:style w:type="character" w:customStyle="1" w:styleId="Titolo5Carattere">
    <w:name w:val="Titolo 5 Carattere"/>
    <w:basedOn w:val="Carpredefinitoparagrafo"/>
    <w:link w:val="Titolo5"/>
    <w:uiPriority w:val="9"/>
    <w:semiHidden/>
    <w:rsid w:val="00E5360D"/>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E5360D"/>
    <w:rPr>
      <w:smallCaps/>
      <w:color w:val="C0504D" w:themeColor="accent2"/>
      <w:spacing w:val="5"/>
      <w:sz w:val="22"/>
    </w:rPr>
  </w:style>
  <w:style w:type="character" w:customStyle="1" w:styleId="Titolo7Carattere">
    <w:name w:val="Titolo 7 Carattere"/>
    <w:basedOn w:val="Carpredefinitoparagrafo"/>
    <w:link w:val="Titolo7"/>
    <w:uiPriority w:val="9"/>
    <w:semiHidden/>
    <w:rsid w:val="00E5360D"/>
    <w:rPr>
      <w:b/>
      <w:smallCaps/>
      <w:color w:val="C0504D" w:themeColor="accent2"/>
      <w:spacing w:val="10"/>
    </w:rPr>
  </w:style>
  <w:style w:type="character" w:customStyle="1" w:styleId="Titolo8Carattere">
    <w:name w:val="Titolo 8 Carattere"/>
    <w:basedOn w:val="Carpredefinitoparagrafo"/>
    <w:link w:val="Titolo8"/>
    <w:uiPriority w:val="9"/>
    <w:semiHidden/>
    <w:rsid w:val="00E5360D"/>
    <w:rPr>
      <w:b/>
      <w:i/>
      <w:smallCaps/>
      <w:color w:val="943634" w:themeColor="accent2" w:themeShade="BF"/>
    </w:rPr>
  </w:style>
  <w:style w:type="character" w:customStyle="1" w:styleId="Titolo9Carattere">
    <w:name w:val="Titolo 9 Carattere"/>
    <w:basedOn w:val="Carpredefinitoparagrafo"/>
    <w:link w:val="Titolo9"/>
    <w:uiPriority w:val="9"/>
    <w:semiHidden/>
    <w:rsid w:val="00E5360D"/>
    <w:rPr>
      <w:b/>
      <w:i/>
      <w:smallCaps/>
      <w:color w:val="622423" w:themeColor="accent2" w:themeShade="7F"/>
    </w:rPr>
  </w:style>
  <w:style w:type="paragraph" w:styleId="Didascalia">
    <w:name w:val="caption"/>
    <w:basedOn w:val="Normale"/>
    <w:next w:val="Normale"/>
    <w:uiPriority w:val="35"/>
    <w:semiHidden/>
    <w:unhideWhenUsed/>
    <w:qFormat/>
    <w:rsid w:val="00E5360D"/>
    <w:rPr>
      <w:b/>
      <w:bCs/>
      <w:caps/>
      <w:sz w:val="16"/>
      <w:szCs w:val="18"/>
    </w:rPr>
  </w:style>
  <w:style w:type="paragraph" w:styleId="Sottotitolo">
    <w:name w:val="Subtitle"/>
    <w:basedOn w:val="Normale"/>
    <w:next w:val="Normale"/>
    <w:link w:val="SottotitoloCarattere"/>
    <w:uiPriority w:val="11"/>
    <w:qFormat/>
    <w:rsid w:val="00E5360D"/>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E5360D"/>
    <w:rPr>
      <w:rFonts w:asciiTheme="majorHAnsi" w:eastAsiaTheme="majorEastAsia" w:hAnsiTheme="majorHAnsi" w:cstheme="majorBidi"/>
      <w:szCs w:val="22"/>
    </w:rPr>
  </w:style>
  <w:style w:type="character" w:styleId="Enfasicorsivo">
    <w:name w:val="Emphasis"/>
    <w:uiPriority w:val="20"/>
    <w:qFormat/>
    <w:rsid w:val="00E5360D"/>
    <w:rPr>
      <w:b/>
      <w:i/>
      <w:spacing w:val="10"/>
    </w:rPr>
  </w:style>
  <w:style w:type="character" w:customStyle="1" w:styleId="NessunaspaziaturaCarattere">
    <w:name w:val="Nessuna spaziatura Carattere"/>
    <w:basedOn w:val="Carpredefinitoparagrafo"/>
    <w:link w:val="Nessunaspaziatura"/>
    <w:uiPriority w:val="1"/>
    <w:rsid w:val="00A1611C"/>
  </w:style>
  <w:style w:type="paragraph" w:styleId="Citazione">
    <w:name w:val="Quote"/>
    <w:basedOn w:val="Normale"/>
    <w:next w:val="Normale"/>
    <w:link w:val="CitazioneCarattere"/>
    <w:uiPriority w:val="29"/>
    <w:qFormat/>
    <w:rsid w:val="00E5360D"/>
    <w:rPr>
      <w:i/>
    </w:rPr>
  </w:style>
  <w:style w:type="character" w:customStyle="1" w:styleId="CitazioneCarattere">
    <w:name w:val="Citazione Carattere"/>
    <w:basedOn w:val="Carpredefinitoparagrafo"/>
    <w:link w:val="Citazione"/>
    <w:uiPriority w:val="29"/>
    <w:rsid w:val="00E5360D"/>
    <w:rPr>
      <w:i/>
    </w:rPr>
  </w:style>
  <w:style w:type="paragraph" w:styleId="Citazioneintensa">
    <w:name w:val="Intense Quote"/>
    <w:basedOn w:val="Normale"/>
    <w:next w:val="Normale"/>
    <w:link w:val="CitazioneintensaCarattere"/>
    <w:uiPriority w:val="30"/>
    <w:qFormat/>
    <w:rsid w:val="00E5360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E5360D"/>
    <w:rPr>
      <w:b/>
      <w:i/>
      <w:color w:val="FFFFFF" w:themeColor="background1"/>
      <w:shd w:val="clear" w:color="auto" w:fill="C0504D" w:themeFill="accent2"/>
    </w:rPr>
  </w:style>
  <w:style w:type="character" w:styleId="Enfasidelicata">
    <w:name w:val="Subtle Emphasis"/>
    <w:uiPriority w:val="19"/>
    <w:qFormat/>
    <w:rsid w:val="00E5360D"/>
    <w:rPr>
      <w:i/>
    </w:rPr>
  </w:style>
  <w:style w:type="character" w:styleId="Enfasiintensa">
    <w:name w:val="Intense Emphasis"/>
    <w:uiPriority w:val="21"/>
    <w:qFormat/>
    <w:rsid w:val="00E5360D"/>
    <w:rPr>
      <w:b/>
      <w:i/>
      <w:color w:val="C0504D" w:themeColor="accent2"/>
      <w:spacing w:val="10"/>
    </w:rPr>
  </w:style>
  <w:style w:type="character" w:styleId="Riferimentodelicato">
    <w:name w:val="Subtle Reference"/>
    <w:uiPriority w:val="31"/>
    <w:qFormat/>
    <w:rsid w:val="00E5360D"/>
    <w:rPr>
      <w:b/>
    </w:rPr>
  </w:style>
  <w:style w:type="character" w:styleId="Riferimentointenso">
    <w:name w:val="Intense Reference"/>
    <w:uiPriority w:val="32"/>
    <w:qFormat/>
    <w:rsid w:val="00E5360D"/>
    <w:rPr>
      <w:b/>
      <w:bCs/>
      <w:smallCaps/>
      <w:spacing w:val="5"/>
      <w:sz w:val="22"/>
      <w:szCs w:val="22"/>
      <w:u w:val="single"/>
    </w:rPr>
  </w:style>
  <w:style w:type="character" w:styleId="Titolodellibro">
    <w:name w:val="Book Title"/>
    <w:uiPriority w:val="33"/>
    <w:qFormat/>
    <w:rsid w:val="00E5360D"/>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E5360D"/>
    <w:pPr>
      <w:outlineLvl w:val="9"/>
    </w:pPr>
    <w:rPr>
      <w:lang w:bidi="en-US"/>
    </w:rPr>
  </w:style>
  <w:style w:type="table" w:styleId="Sfondomedio1-Colore2">
    <w:name w:val="Medium Shading 1 Accent 2"/>
    <w:basedOn w:val="Tabellanormale"/>
    <w:uiPriority w:val="63"/>
    <w:rsid w:val="00E5360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estofumetto">
    <w:name w:val="Balloon Text"/>
    <w:basedOn w:val="Normale"/>
    <w:link w:val="TestofumettoCarattere"/>
    <w:uiPriority w:val="99"/>
    <w:semiHidden/>
    <w:unhideWhenUsed/>
    <w:rsid w:val="000D2E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2E73"/>
    <w:rPr>
      <w:rFonts w:ascii="Tahoma" w:hAnsi="Tahoma" w:cs="Tahoma"/>
      <w:sz w:val="16"/>
      <w:szCs w:val="16"/>
    </w:rPr>
  </w:style>
  <w:style w:type="character" w:styleId="Rimandocommento">
    <w:name w:val="annotation reference"/>
    <w:basedOn w:val="Carpredefinitoparagrafo"/>
    <w:uiPriority w:val="99"/>
    <w:semiHidden/>
    <w:unhideWhenUsed/>
    <w:rsid w:val="00162A6C"/>
    <w:rPr>
      <w:sz w:val="16"/>
      <w:szCs w:val="16"/>
    </w:rPr>
  </w:style>
  <w:style w:type="paragraph" w:styleId="Testocommento">
    <w:name w:val="annotation text"/>
    <w:basedOn w:val="Normale"/>
    <w:link w:val="TestocommentoCarattere"/>
    <w:uiPriority w:val="99"/>
    <w:semiHidden/>
    <w:unhideWhenUsed/>
    <w:rsid w:val="00162A6C"/>
    <w:pPr>
      <w:spacing w:line="240" w:lineRule="auto"/>
    </w:pPr>
    <w:rPr>
      <w:sz w:val="20"/>
    </w:rPr>
  </w:style>
  <w:style w:type="character" w:customStyle="1" w:styleId="TestocommentoCarattere">
    <w:name w:val="Testo commento Carattere"/>
    <w:basedOn w:val="Carpredefinitoparagrafo"/>
    <w:link w:val="Testocommento"/>
    <w:uiPriority w:val="99"/>
    <w:semiHidden/>
    <w:rsid w:val="00162A6C"/>
  </w:style>
  <w:style w:type="paragraph" w:styleId="Soggettocommento">
    <w:name w:val="annotation subject"/>
    <w:basedOn w:val="Testocommento"/>
    <w:next w:val="Testocommento"/>
    <w:link w:val="SoggettocommentoCarattere"/>
    <w:uiPriority w:val="99"/>
    <w:semiHidden/>
    <w:unhideWhenUsed/>
    <w:rsid w:val="00162A6C"/>
    <w:rPr>
      <w:b/>
      <w:bCs/>
    </w:rPr>
  </w:style>
  <w:style w:type="character" w:customStyle="1" w:styleId="SoggettocommentoCarattere">
    <w:name w:val="Soggetto commento Carattere"/>
    <w:basedOn w:val="TestocommentoCarattere"/>
    <w:link w:val="Soggettocommento"/>
    <w:uiPriority w:val="99"/>
    <w:semiHidden/>
    <w:rsid w:val="00162A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E78"/>
    <w:rPr>
      <w:sz w:val="22"/>
    </w:rPr>
  </w:style>
  <w:style w:type="paragraph" w:styleId="Heading1">
    <w:name w:val="heading 1"/>
    <w:basedOn w:val="Normal"/>
    <w:next w:val="Normal"/>
    <w:link w:val="Heading1Char"/>
    <w:uiPriority w:val="9"/>
    <w:qFormat/>
    <w:rsid w:val="00E5360D"/>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E5360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5360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E5360D"/>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E5360D"/>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E5360D"/>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E5360D"/>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E5360D"/>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E5360D"/>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71EC"/>
    <w:rPr>
      <w:color w:val="0000FF" w:themeColor="hyperlink"/>
      <w:u w:val="single"/>
    </w:rPr>
  </w:style>
  <w:style w:type="paragraph" w:styleId="FootnoteText">
    <w:name w:val="footnote text"/>
    <w:basedOn w:val="Normal"/>
    <w:link w:val="FootnoteTextChar"/>
    <w:uiPriority w:val="99"/>
    <w:semiHidden/>
    <w:unhideWhenUsed/>
    <w:rsid w:val="00CB71EC"/>
    <w:pPr>
      <w:spacing w:after="0" w:line="240" w:lineRule="auto"/>
    </w:pPr>
  </w:style>
  <w:style w:type="character" w:customStyle="1" w:styleId="FootnoteTextChar">
    <w:name w:val="Footnote Text Char"/>
    <w:basedOn w:val="DefaultParagraphFont"/>
    <w:link w:val="FootnoteText"/>
    <w:uiPriority w:val="99"/>
    <w:semiHidden/>
    <w:rsid w:val="00CB71EC"/>
    <w:rPr>
      <w:sz w:val="20"/>
      <w:szCs w:val="20"/>
    </w:rPr>
  </w:style>
  <w:style w:type="character" w:styleId="FootnoteReference">
    <w:name w:val="footnote reference"/>
    <w:basedOn w:val="DefaultParagraphFont"/>
    <w:uiPriority w:val="99"/>
    <w:semiHidden/>
    <w:unhideWhenUsed/>
    <w:rsid w:val="00CB71EC"/>
    <w:rPr>
      <w:vertAlign w:val="superscript"/>
    </w:rPr>
  </w:style>
  <w:style w:type="character" w:customStyle="1" w:styleId="Heading1Char">
    <w:name w:val="Heading 1 Char"/>
    <w:basedOn w:val="DefaultParagraphFont"/>
    <w:link w:val="Heading1"/>
    <w:uiPriority w:val="9"/>
    <w:rsid w:val="00E5360D"/>
    <w:rPr>
      <w:smallCaps/>
      <w:spacing w:val="5"/>
      <w:sz w:val="32"/>
      <w:szCs w:val="32"/>
    </w:rPr>
  </w:style>
  <w:style w:type="paragraph" w:styleId="Header">
    <w:name w:val="header"/>
    <w:basedOn w:val="Normal"/>
    <w:link w:val="HeaderChar"/>
    <w:uiPriority w:val="99"/>
    <w:unhideWhenUsed/>
    <w:rsid w:val="00163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934"/>
  </w:style>
  <w:style w:type="paragraph" w:styleId="Footer">
    <w:name w:val="footer"/>
    <w:basedOn w:val="Normal"/>
    <w:link w:val="FooterChar"/>
    <w:uiPriority w:val="99"/>
    <w:unhideWhenUsed/>
    <w:rsid w:val="00163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934"/>
  </w:style>
  <w:style w:type="character" w:styleId="FollowedHyperlink">
    <w:name w:val="FollowedHyperlink"/>
    <w:basedOn w:val="DefaultParagraphFont"/>
    <w:uiPriority w:val="99"/>
    <w:semiHidden/>
    <w:unhideWhenUsed/>
    <w:rsid w:val="000B6104"/>
    <w:rPr>
      <w:color w:val="800080" w:themeColor="followedHyperlink"/>
      <w:u w:val="single"/>
    </w:rPr>
  </w:style>
  <w:style w:type="character" w:customStyle="1" w:styleId="notranslate">
    <w:name w:val="notranslate"/>
    <w:basedOn w:val="DefaultParagraphFont"/>
    <w:rsid w:val="000B6104"/>
  </w:style>
  <w:style w:type="character" w:styleId="Strong">
    <w:name w:val="Strong"/>
    <w:uiPriority w:val="22"/>
    <w:qFormat/>
    <w:rsid w:val="00E5360D"/>
    <w:rPr>
      <w:b/>
      <w:color w:val="C0504D" w:themeColor="accent2"/>
    </w:rPr>
  </w:style>
  <w:style w:type="paragraph" w:styleId="ListParagraph">
    <w:name w:val="List Paragraph"/>
    <w:basedOn w:val="Normal"/>
    <w:uiPriority w:val="34"/>
    <w:qFormat/>
    <w:rsid w:val="00E5360D"/>
    <w:pPr>
      <w:ind w:left="720"/>
      <w:contextualSpacing/>
    </w:pPr>
  </w:style>
  <w:style w:type="paragraph" w:styleId="NoSpacing">
    <w:name w:val="No Spacing"/>
    <w:basedOn w:val="Normal"/>
    <w:link w:val="NoSpacingChar"/>
    <w:uiPriority w:val="1"/>
    <w:qFormat/>
    <w:rsid w:val="00A1611C"/>
    <w:pPr>
      <w:spacing w:after="0" w:line="240" w:lineRule="auto"/>
      <w:jc w:val="left"/>
    </w:pPr>
  </w:style>
  <w:style w:type="character" w:customStyle="1" w:styleId="Heading2Char">
    <w:name w:val="Heading 2 Char"/>
    <w:basedOn w:val="DefaultParagraphFont"/>
    <w:link w:val="Heading2"/>
    <w:uiPriority w:val="9"/>
    <w:rsid w:val="00E5360D"/>
    <w:rPr>
      <w:smallCaps/>
      <w:spacing w:val="5"/>
      <w:sz w:val="28"/>
      <w:szCs w:val="28"/>
    </w:rPr>
  </w:style>
  <w:style w:type="paragraph" w:customStyle="1" w:styleId="them3">
    <w:name w:val="them3"/>
    <w:basedOn w:val="Normal"/>
    <w:rsid w:val="008F72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96C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ps">
    <w:name w:val="hps"/>
    <w:basedOn w:val="DefaultParagraphFont"/>
    <w:rsid w:val="00967992"/>
  </w:style>
  <w:style w:type="paragraph" w:styleId="Title">
    <w:name w:val="Title"/>
    <w:basedOn w:val="Normal"/>
    <w:next w:val="Normal"/>
    <w:link w:val="TitleChar"/>
    <w:uiPriority w:val="10"/>
    <w:qFormat/>
    <w:rsid w:val="00E5360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5360D"/>
    <w:rPr>
      <w:smallCaps/>
      <w:sz w:val="48"/>
      <w:szCs w:val="48"/>
    </w:rPr>
  </w:style>
  <w:style w:type="character" w:customStyle="1" w:styleId="Heading3Char">
    <w:name w:val="Heading 3 Char"/>
    <w:basedOn w:val="DefaultParagraphFont"/>
    <w:link w:val="Heading3"/>
    <w:uiPriority w:val="9"/>
    <w:semiHidden/>
    <w:rsid w:val="00E5360D"/>
    <w:rPr>
      <w:smallCaps/>
      <w:spacing w:val="5"/>
      <w:sz w:val="24"/>
      <w:szCs w:val="24"/>
    </w:rPr>
  </w:style>
  <w:style w:type="character" w:customStyle="1" w:styleId="Heading4Char">
    <w:name w:val="Heading 4 Char"/>
    <w:basedOn w:val="DefaultParagraphFont"/>
    <w:link w:val="Heading4"/>
    <w:uiPriority w:val="9"/>
    <w:semiHidden/>
    <w:rsid w:val="00E5360D"/>
    <w:rPr>
      <w:smallCaps/>
      <w:spacing w:val="10"/>
      <w:sz w:val="22"/>
      <w:szCs w:val="22"/>
    </w:rPr>
  </w:style>
  <w:style w:type="character" w:customStyle="1" w:styleId="Heading5Char">
    <w:name w:val="Heading 5 Char"/>
    <w:basedOn w:val="DefaultParagraphFont"/>
    <w:link w:val="Heading5"/>
    <w:uiPriority w:val="9"/>
    <w:semiHidden/>
    <w:rsid w:val="00E5360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E5360D"/>
    <w:rPr>
      <w:smallCaps/>
      <w:color w:val="C0504D" w:themeColor="accent2"/>
      <w:spacing w:val="5"/>
      <w:sz w:val="22"/>
    </w:rPr>
  </w:style>
  <w:style w:type="character" w:customStyle="1" w:styleId="Heading7Char">
    <w:name w:val="Heading 7 Char"/>
    <w:basedOn w:val="DefaultParagraphFont"/>
    <w:link w:val="Heading7"/>
    <w:uiPriority w:val="9"/>
    <w:semiHidden/>
    <w:rsid w:val="00E5360D"/>
    <w:rPr>
      <w:b/>
      <w:smallCaps/>
      <w:color w:val="C0504D" w:themeColor="accent2"/>
      <w:spacing w:val="10"/>
    </w:rPr>
  </w:style>
  <w:style w:type="character" w:customStyle="1" w:styleId="Heading8Char">
    <w:name w:val="Heading 8 Char"/>
    <w:basedOn w:val="DefaultParagraphFont"/>
    <w:link w:val="Heading8"/>
    <w:uiPriority w:val="9"/>
    <w:semiHidden/>
    <w:rsid w:val="00E5360D"/>
    <w:rPr>
      <w:b/>
      <w:i/>
      <w:smallCaps/>
      <w:color w:val="943634" w:themeColor="accent2" w:themeShade="BF"/>
    </w:rPr>
  </w:style>
  <w:style w:type="character" w:customStyle="1" w:styleId="Heading9Char">
    <w:name w:val="Heading 9 Char"/>
    <w:basedOn w:val="DefaultParagraphFont"/>
    <w:link w:val="Heading9"/>
    <w:uiPriority w:val="9"/>
    <w:semiHidden/>
    <w:rsid w:val="00E5360D"/>
    <w:rPr>
      <w:b/>
      <w:i/>
      <w:smallCaps/>
      <w:color w:val="622423" w:themeColor="accent2" w:themeShade="7F"/>
    </w:rPr>
  </w:style>
  <w:style w:type="paragraph" w:styleId="Caption">
    <w:name w:val="caption"/>
    <w:basedOn w:val="Normal"/>
    <w:next w:val="Normal"/>
    <w:uiPriority w:val="35"/>
    <w:semiHidden/>
    <w:unhideWhenUsed/>
    <w:qFormat/>
    <w:rsid w:val="00E5360D"/>
    <w:rPr>
      <w:b/>
      <w:bCs/>
      <w:caps/>
      <w:sz w:val="16"/>
      <w:szCs w:val="18"/>
    </w:rPr>
  </w:style>
  <w:style w:type="paragraph" w:styleId="Subtitle">
    <w:name w:val="Subtitle"/>
    <w:basedOn w:val="Normal"/>
    <w:next w:val="Normal"/>
    <w:link w:val="SubtitleChar"/>
    <w:uiPriority w:val="11"/>
    <w:qFormat/>
    <w:rsid w:val="00E5360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5360D"/>
    <w:rPr>
      <w:rFonts w:asciiTheme="majorHAnsi" w:eastAsiaTheme="majorEastAsia" w:hAnsiTheme="majorHAnsi" w:cstheme="majorBidi"/>
      <w:szCs w:val="22"/>
    </w:rPr>
  </w:style>
  <w:style w:type="character" w:styleId="Emphasis">
    <w:name w:val="Emphasis"/>
    <w:uiPriority w:val="20"/>
    <w:qFormat/>
    <w:rsid w:val="00E5360D"/>
    <w:rPr>
      <w:b/>
      <w:i/>
      <w:spacing w:val="10"/>
    </w:rPr>
  </w:style>
  <w:style w:type="character" w:customStyle="1" w:styleId="NoSpacingChar">
    <w:name w:val="No Spacing Char"/>
    <w:basedOn w:val="DefaultParagraphFont"/>
    <w:link w:val="NoSpacing"/>
    <w:uiPriority w:val="1"/>
    <w:rsid w:val="00A1611C"/>
  </w:style>
  <w:style w:type="paragraph" w:styleId="Quote">
    <w:name w:val="Quote"/>
    <w:basedOn w:val="Normal"/>
    <w:next w:val="Normal"/>
    <w:link w:val="QuoteChar"/>
    <w:uiPriority w:val="29"/>
    <w:qFormat/>
    <w:rsid w:val="00E5360D"/>
    <w:rPr>
      <w:i/>
    </w:rPr>
  </w:style>
  <w:style w:type="character" w:customStyle="1" w:styleId="QuoteChar">
    <w:name w:val="Quote Char"/>
    <w:basedOn w:val="DefaultParagraphFont"/>
    <w:link w:val="Quote"/>
    <w:uiPriority w:val="29"/>
    <w:rsid w:val="00E5360D"/>
    <w:rPr>
      <w:i/>
    </w:rPr>
  </w:style>
  <w:style w:type="paragraph" w:styleId="IntenseQuote">
    <w:name w:val="Intense Quote"/>
    <w:basedOn w:val="Normal"/>
    <w:next w:val="Normal"/>
    <w:link w:val="IntenseQuoteChar"/>
    <w:uiPriority w:val="30"/>
    <w:qFormat/>
    <w:rsid w:val="00E5360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5360D"/>
    <w:rPr>
      <w:b/>
      <w:i/>
      <w:color w:val="FFFFFF" w:themeColor="background1"/>
      <w:shd w:val="clear" w:color="auto" w:fill="C0504D" w:themeFill="accent2"/>
    </w:rPr>
  </w:style>
  <w:style w:type="character" w:styleId="SubtleEmphasis">
    <w:name w:val="Subtle Emphasis"/>
    <w:uiPriority w:val="19"/>
    <w:qFormat/>
    <w:rsid w:val="00E5360D"/>
    <w:rPr>
      <w:i/>
    </w:rPr>
  </w:style>
  <w:style w:type="character" w:styleId="IntenseEmphasis">
    <w:name w:val="Intense Emphasis"/>
    <w:uiPriority w:val="21"/>
    <w:qFormat/>
    <w:rsid w:val="00E5360D"/>
    <w:rPr>
      <w:b/>
      <w:i/>
      <w:color w:val="C0504D" w:themeColor="accent2"/>
      <w:spacing w:val="10"/>
    </w:rPr>
  </w:style>
  <w:style w:type="character" w:styleId="SubtleReference">
    <w:name w:val="Subtle Reference"/>
    <w:uiPriority w:val="31"/>
    <w:qFormat/>
    <w:rsid w:val="00E5360D"/>
    <w:rPr>
      <w:b/>
    </w:rPr>
  </w:style>
  <w:style w:type="character" w:styleId="IntenseReference">
    <w:name w:val="Intense Reference"/>
    <w:uiPriority w:val="32"/>
    <w:qFormat/>
    <w:rsid w:val="00E5360D"/>
    <w:rPr>
      <w:b/>
      <w:bCs/>
      <w:smallCaps/>
      <w:spacing w:val="5"/>
      <w:sz w:val="22"/>
      <w:szCs w:val="22"/>
      <w:u w:val="single"/>
    </w:rPr>
  </w:style>
  <w:style w:type="character" w:styleId="BookTitle">
    <w:name w:val="Book Title"/>
    <w:uiPriority w:val="33"/>
    <w:qFormat/>
    <w:rsid w:val="00E5360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5360D"/>
    <w:pPr>
      <w:outlineLvl w:val="9"/>
    </w:pPr>
    <w:rPr>
      <w:lang w:bidi="en-US"/>
    </w:rPr>
  </w:style>
  <w:style w:type="table" w:styleId="MediumShading1-Accent2">
    <w:name w:val="Medium Shading 1 Accent 2"/>
    <w:basedOn w:val="TableNormal"/>
    <w:uiPriority w:val="63"/>
    <w:rsid w:val="00E5360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0D2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E73"/>
    <w:rPr>
      <w:rFonts w:ascii="Tahoma" w:hAnsi="Tahoma" w:cs="Tahoma"/>
      <w:sz w:val="16"/>
      <w:szCs w:val="16"/>
    </w:rPr>
  </w:style>
  <w:style w:type="character" w:styleId="CommentReference">
    <w:name w:val="annotation reference"/>
    <w:basedOn w:val="DefaultParagraphFont"/>
    <w:uiPriority w:val="99"/>
    <w:semiHidden/>
    <w:unhideWhenUsed/>
    <w:rsid w:val="00162A6C"/>
    <w:rPr>
      <w:sz w:val="16"/>
      <w:szCs w:val="16"/>
    </w:rPr>
  </w:style>
  <w:style w:type="paragraph" w:styleId="CommentText">
    <w:name w:val="annotation text"/>
    <w:basedOn w:val="Normal"/>
    <w:link w:val="CommentTextChar"/>
    <w:uiPriority w:val="99"/>
    <w:semiHidden/>
    <w:unhideWhenUsed/>
    <w:rsid w:val="00162A6C"/>
    <w:pPr>
      <w:spacing w:line="240" w:lineRule="auto"/>
    </w:pPr>
    <w:rPr>
      <w:sz w:val="20"/>
    </w:rPr>
  </w:style>
  <w:style w:type="character" w:customStyle="1" w:styleId="CommentTextChar">
    <w:name w:val="Comment Text Char"/>
    <w:basedOn w:val="DefaultParagraphFont"/>
    <w:link w:val="CommentText"/>
    <w:uiPriority w:val="99"/>
    <w:semiHidden/>
    <w:rsid w:val="00162A6C"/>
  </w:style>
  <w:style w:type="paragraph" w:styleId="CommentSubject">
    <w:name w:val="annotation subject"/>
    <w:basedOn w:val="CommentText"/>
    <w:next w:val="CommentText"/>
    <w:link w:val="CommentSubjectChar"/>
    <w:uiPriority w:val="99"/>
    <w:semiHidden/>
    <w:unhideWhenUsed/>
    <w:rsid w:val="00162A6C"/>
    <w:rPr>
      <w:b/>
      <w:bCs/>
    </w:rPr>
  </w:style>
  <w:style w:type="character" w:customStyle="1" w:styleId="CommentSubjectChar">
    <w:name w:val="Comment Subject Char"/>
    <w:basedOn w:val="CommentTextChar"/>
    <w:link w:val="CommentSubject"/>
    <w:uiPriority w:val="99"/>
    <w:semiHidden/>
    <w:rsid w:val="00162A6C"/>
    <w:rPr>
      <w:b/>
      <w:bCs/>
    </w:rPr>
  </w:style>
</w:styles>
</file>

<file path=word/webSettings.xml><?xml version="1.0" encoding="utf-8"?>
<w:webSettings xmlns:r="http://schemas.openxmlformats.org/officeDocument/2006/relationships" xmlns:w="http://schemas.openxmlformats.org/wordprocessingml/2006/main">
  <w:divs>
    <w:div w:id="96412978">
      <w:bodyDiv w:val="1"/>
      <w:marLeft w:val="0"/>
      <w:marRight w:val="0"/>
      <w:marTop w:val="0"/>
      <w:marBottom w:val="0"/>
      <w:divBdr>
        <w:top w:val="none" w:sz="0" w:space="0" w:color="auto"/>
        <w:left w:val="none" w:sz="0" w:space="0" w:color="auto"/>
        <w:bottom w:val="none" w:sz="0" w:space="0" w:color="auto"/>
        <w:right w:val="none" w:sz="0" w:space="0" w:color="auto"/>
      </w:divBdr>
    </w:div>
    <w:div w:id="370110392">
      <w:bodyDiv w:val="1"/>
      <w:marLeft w:val="0"/>
      <w:marRight w:val="0"/>
      <w:marTop w:val="0"/>
      <w:marBottom w:val="0"/>
      <w:divBdr>
        <w:top w:val="none" w:sz="0" w:space="0" w:color="auto"/>
        <w:left w:val="none" w:sz="0" w:space="0" w:color="auto"/>
        <w:bottom w:val="none" w:sz="0" w:space="0" w:color="auto"/>
        <w:right w:val="none" w:sz="0" w:space="0" w:color="auto"/>
      </w:divBdr>
    </w:div>
    <w:div w:id="386800948">
      <w:bodyDiv w:val="1"/>
      <w:marLeft w:val="0"/>
      <w:marRight w:val="0"/>
      <w:marTop w:val="0"/>
      <w:marBottom w:val="0"/>
      <w:divBdr>
        <w:top w:val="none" w:sz="0" w:space="0" w:color="auto"/>
        <w:left w:val="none" w:sz="0" w:space="0" w:color="auto"/>
        <w:bottom w:val="none" w:sz="0" w:space="0" w:color="auto"/>
        <w:right w:val="none" w:sz="0" w:space="0" w:color="auto"/>
      </w:divBdr>
    </w:div>
    <w:div w:id="409499036">
      <w:bodyDiv w:val="1"/>
      <w:marLeft w:val="0"/>
      <w:marRight w:val="0"/>
      <w:marTop w:val="0"/>
      <w:marBottom w:val="0"/>
      <w:divBdr>
        <w:top w:val="none" w:sz="0" w:space="0" w:color="auto"/>
        <w:left w:val="none" w:sz="0" w:space="0" w:color="auto"/>
        <w:bottom w:val="none" w:sz="0" w:space="0" w:color="auto"/>
        <w:right w:val="none" w:sz="0" w:space="0" w:color="auto"/>
      </w:divBdr>
    </w:div>
    <w:div w:id="428625400">
      <w:bodyDiv w:val="1"/>
      <w:marLeft w:val="0"/>
      <w:marRight w:val="0"/>
      <w:marTop w:val="0"/>
      <w:marBottom w:val="0"/>
      <w:divBdr>
        <w:top w:val="none" w:sz="0" w:space="0" w:color="auto"/>
        <w:left w:val="none" w:sz="0" w:space="0" w:color="auto"/>
        <w:bottom w:val="none" w:sz="0" w:space="0" w:color="auto"/>
        <w:right w:val="none" w:sz="0" w:space="0" w:color="auto"/>
      </w:divBdr>
    </w:div>
    <w:div w:id="687216445">
      <w:bodyDiv w:val="1"/>
      <w:marLeft w:val="0"/>
      <w:marRight w:val="0"/>
      <w:marTop w:val="0"/>
      <w:marBottom w:val="0"/>
      <w:divBdr>
        <w:top w:val="none" w:sz="0" w:space="0" w:color="auto"/>
        <w:left w:val="none" w:sz="0" w:space="0" w:color="auto"/>
        <w:bottom w:val="none" w:sz="0" w:space="0" w:color="auto"/>
        <w:right w:val="none" w:sz="0" w:space="0" w:color="auto"/>
      </w:divBdr>
    </w:div>
    <w:div w:id="744231927">
      <w:bodyDiv w:val="1"/>
      <w:marLeft w:val="0"/>
      <w:marRight w:val="0"/>
      <w:marTop w:val="0"/>
      <w:marBottom w:val="0"/>
      <w:divBdr>
        <w:top w:val="none" w:sz="0" w:space="0" w:color="auto"/>
        <w:left w:val="none" w:sz="0" w:space="0" w:color="auto"/>
        <w:bottom w:val="none" w:sz="0" w:space="0" w:color="auto"/>
        <w:right w:val="none" w:sz="0" w:space="0" w:color="auto"/>
      </w:divBdr>
      <w:divsChild>
        <w:div w:id="405298884">
          <w:marLeft w:val="0"/>
          <w:marRight w:val="0"/>
          <w:marTop w:val="0"/>
          <w:marBottom w:val="0"/>
          <w:divBdr>
            <w:top w:val="none" w:sz="0" w:space="0" w:color="auto"/>
            <w:left w:val="none" w:sz="0" w:space="0" w:color="auto"/>
            <w:bottom w:val="none" w:sz="0" w:space="0" w:color="auto"/>
            <w:right w:val="none" w:sz="0" w:space="0" w:color="auto"/>
          </w:divBdr>
        </w:div>
        <w:div w:id="632751929">
          <w:marLeft w:val="0"/>
          <w:marRight w:val="0"/>
          <w:marTop w:val="0"/>
          <w:marBottom w:val="0"/>
          <w:divBdr>
            <w:top w:val="none" w:sz="0" w:space="0" w:color="auto"/>
            <w:left w:val="none" w:sz="0" w:space="0" w:color="auto"/>
            <w:bottom w:val="none" w:sz="0" w:space="0" w:color="auto"/>
            <w:right w:val="none" w:sz="0" w:space="0" w:color="auto"/>
          </w:divBdr>
        </w:div>
      </w:divsChild>
    </w:div>
    <w:div w:id="963346096">
      <w:bodyDiv w:val="1"/>
      <w:marLeft w:val="0"/>
      <w:marRight w:val="0"/>
      <w:marTop w:val="0"/>
      <w:marBottom w:val="0"/>
      <w:divBdr>
        <w:top w:val="none" w:sz="0" w:space="0" w:color="auto"/>
        <w:left w:val="none" w:sz="0" w:space="0" w:color="auto"/>
        <w:bottom w:val="none" w:sz="0" w:space="0" w:color="auto"/>
        <w:right w:val="none" w:sz="0" w:space="0" w:color="auto"/>
      </w:divBdr>
    </w:div>
    <w:div w:id="1117792111">
      <w:bodyDiv w:val="1"/>
      <w:marLeft w:val="0"/>
      <w:marRight w:val="0"/>
      <w:marTop w:val="0"/>
      <w:marBottom w:val="0"/>
      <w:divBdr>
        <w:top w:val="none" w:sz="0" w:space="0" w:color="auto"/>
        <w:left w:val="none" w:sz="0" w:space="0" w:color="auto"/>
        <w:bottom w:val="none" w:sz="0" w:space="0" w:color="auto"/>
        <w:right w:val="none" w:sz="0" w:space="0" w:color="auto"/>
      </w:divBdr>
      <w:divsChild>
        <w:div w:id="546725749">
          <w:marLeft w:val="0"/>
          <w:marRight w:val="0"/>
          <w:marTop w:val="0"/>
          <w:marBottom w:val="0"/>
          <w:divBdr>
            <w:top w:val="none" w:sz="0" w:space="0" w:color="auto"/>
            <w:left w:val="none" w:sz="0" w:space="0" w:color="auto"/>
            <w:bottom w:val="none" w:sz="0" w:space="0" w:color="auto"/>
            <w:right w:val="none" w:sz="0" w:space="0" w:color="auto"/>
          </w:divBdr>
        </w:div>
      </w:divsChild>
    </w:div>
    <w:div w:id="1285380308">
      <w:bodyDiv w:val="1"/>
      <w:marLeft w:val="0"/>
      <w:marRight w:val="0"/>
      <w:marTop w:val="0"/>
      <w:marBottom w:val="0"/>
      <w:divBdr>
        <w:top w:val="none" w:sz="0" w:space="0" w:color="auto"/>
        <w:left w:val="none" w:sz="0" w:space="0" w:color="auto"/>
        <w:bottom w:val="none" w:sz="0" w:space="0" w:color="auto"/>
        <w:right w:val="none" w:sz="0" w:space="0" w:color="auto"/>
      </w:divBdr>
      <w:divsChild>
        <w:div w:id="193004947">
          <w:marLeft w:val="0"/>
          <w:marRight w:val="0"/>
          <w:marTop w:val="0"/>
          <w:marBottom w:val="0"/>
          <w:divBdr>
            <w:top w:val="none" w:sz="0" w:space="0" w:color="auto"/>
            <w:left w:val="none" w:sz="0" w:space="0" w:color="auto"/>
            <w:bottom w:val="none" w:sz="0" w:space="0" w:color="auto"/>
            <w:right w:val="none" w:sz="0" w:space="0" w:color="auto"/>
          </w:divBdr>
        </w:div>
        <w:div w:id="1778868172">
          <w:marLeft w:val="0"/>
          <w:marRight w:val="0"/>
          <w:marTop w:val="0"/>
          <w:marBottom w:val="0"/>
          <w:divBdr>
            <w:top w:val="none" w:sz="0" w:space="0" w:color="auto"/>
            <w:left w:val="none" w:sz="0" w:space="0" w:color="auto"/>
            <w:bottom w:val="none" w:sz="0" w:space="0" w:color="auto"/>
            <w:right w:val="none" w:sz="0" w:space="0" w:color="auto"/>
          </w:divBdr>
        </w:div>
        <w:div w:id="808523186">
          <w:marLeft w:val="0"/>
          <w:marRight w:val="0"/>
          <w:marTop w:val="0"/>
          <w:marBottom w:val="0"/>
          <w:divBdr>
            <w:top w:val="none" w:sz="0" w:space="0" w:color="auto"/>
            <w:left w:val="none" w:sz="0" w:space="0" w:color="auto"/>
            <w:bottom w:val="none" w:sz="0" w:space="0" w:color="auto"/>
            <w:right w:val="none" w:sz="0" w:space="0" w:color="auto"/>
          </w:divBdr>
        </w:div>
      </w:divsChild>
    </w:div>
    <w:div w:id="1380351875">
      <w:bodyDiv w:val="1"/>
      <w:marLeft w:val="0"/>
      <w:marRight w:val="0"/>
      <w:marTop w:val="0"/>
      <w:marBottom w:val="0"/>
      <w:divBdr>
        <w:top w:val="none" w:sz="0" w:space="0" w:color="auto"/>
        <w:left w:val="none" w:sz="0" w:space="0" w:color="auto"/>
        <w:bottom w:val="none" w:sz="0" w:space="0" w:color="auto"/>
        <w:right w:val="none" w:sz="0" w:space="0" w:color="auto"/>
      </w:divBdr>
    </w:div>
    <w:div w:id="1499618986">
      <w:bodyDiv w:val="1"/>
      <w:marLeft w:val="0"/>
      <w:marRight w:val="0"/>
      <w:marTop w:val="0"/>
      <w:marBottom w:val="0"/>
      <w:divBdr>
        <w:top w:val="none" w:sz="0" w:space="0" w:color="auto"/>
        <w:left w:val="none" w:sz="0" w:space="0" w:color="auto"/>
        <w:bottom w:val="none" w:sz="0" w:space="0" w:color="auto"/>
        <w:right w:val="none" w:sz="0" w:space="0" w:color="auto"/>
      </w:divBdr>
    </w:div>
    <w:div w:id="1510828937">
      <w:bodyDiv w:val="1"/>
      <w:marLeft w:val="0"/>
      <w:marRight w:val="0"/>
      <w:marTop w:val="0"/>
      <w:marBottom w:val="0"/>
      <w:divBdr>
        <w:top w:val="none" w:sz="0" w:space="0" w:color="auto"/>
        <w:left w:val="none" w:sz="0" w:space="0" w:color="auto"/>
        <w:bottom w:val="none" w:sz="0" w:space="0" w:color="auto"/>
        <w:right w:val="none" w:sz="0" w:space="0" w:color="auto"/>
      </w:divBdr>
    </w:div>
    <w:div w:id="1605532081">
      <w:bodyDiv w:val="1"/>
      <w:marLeft w:val="0"/>
      <w:marRight w:val="0"/>
      <w:marTop w:val="0"/>
      <w:marBottom w:val="0"/>
      <w:divBdr>
        <w:top w:val="none" w:sz="0" w:space="0" w:color="auto"/>
        <w:left w:val="none" w:sz="0" w:space="0" w:color="auto"/>
        <w:bottom w:val="none" w:sz="0" w:space="0" w:color="auto"/>
        <w:right w:val="none" w:sz="0" w:space="0" w:color="auto"/>
      </w:divBdr>
    </w:div>
    <w:div w:id="1638949667">
      <w:bodyDiv w:val="1"/>
      <w:marLeft w:val="0"/>
      <w:marRight w:val="0"/>
      <w:marTop w:val="0"/>
      <w:marBottom w:val="0"/>
      <w:divBdr>
        <w:top w:val="none" w:sz="0" w:space="0" w:color="auto"/>
        <w:left w:val="none" w:sz="0" w:space="0" w:color="auto"/>
        <w:bottom w:val="none" w:sz="0" w:space="0" w:color="auto"/>
        <w:right w:val="none" w:sz="0" w:space="0" w:color="auto"/>
      </w:divBdr>
    </w:div>
    <w:div w:id="1645695448">
      <w:bodyDiv w:val="1"/>
      <w:marLeft w:val="0"/>
      <w:marRight w:val="0"/>
      <w:marTop w:val="0"/>
      <w:marBottom w:val="0"/>
      <w:divBdr>
        <w:top w:val="none" w:sz="0" w:space="0" w:color="auto"/>
        <w:left w:val="none" w:sz="0" w:space="0" w:color="auto"/>
        <w:bottom w:val="none" w:sz="0" w:space="0" w:color="auto"/>
        <w:right w:val="none" w:sz="0" w:space="0" w:color="auto"/>
      </w:divBdr>
    </w:div>
    <w:div w:id="1737706259">
      <w:bodyDiv w:val="1"/>
      <w:marLeft w:val="0"/>
      <w:marRight w:val="0"/>
      <w:marTop w:val="0"/>
      <w:marBottom w:val="0"/>
      <w:divBdr>
        <w:top w:val="none" w:sz="0" w:space="0" w:color="auto"/>
        <w:left w:val="none" w:sz="0" w:space="0" w:color="auto"/>
        <w:bottom w:val="none" w:sz="0" w:space="0" w:color="auto"/>
        <w:right w:val="none" w:sz="0" w:space="0" w:color="auto"/>
      </w:divBdr>
      <w:divsChild>
        <w:div w:id="727653784">
          <w:marLeft w:val="0"/>
          <w:marRight w:val="0"/>
          <w:marTop w:val="0"/>
          <w:marBottom w:val="0"/>
          <w:divBdr>
            <w:top w:val="none" w:sz="0" w:space="0" w:color="auto"/>
            <w:left w:val="none" w:sz="0" w:space="0" w:color="auto"/>
            <w:bottom w:val="none" w:sz="0" w:space="0" w:color="auto"/>
            <w:right w:val="none" w:sz="0" w:space="0" w:color="auto"/>
          </w:divBdr>
        </w:div>
        <w:div w:id="1769080658">
          <w:marLeft w:val="0"/>
          <w:marRight w:val="0"/>
          <w:marTop w:val="0"/>
          <w:marBottom w:val="0"/>
          <w:divBdr>
            <w:top w:val="none" w:sz="0" w:space="0" w:color="auto"/>
            <w:left w:val="none" w:sz="0" w:space="0" w:color="auto"/>
            <w:bottom w:val="none" w:sz="0" w:space="0" w:color="auto"/>
            <w:right w:val="none" w:sz="0" w:space="0" w:color="auto"/>
          </w:divBdr>
        </w:div>
      </w:divsChild>
    </w:div>
    <w:div w:id="1747142761">
      <w:bodyDiv w:val="1"/>
      <w:marLeft w:val="0"/>
      <w:marRight w:val="0"/>
      <w:marTop w:val="0"/>
      <w:marBottom w:val="0"/>
      <w:divBdr>
        <w:top w:val="none" w:sz="0" w:space="0" w:color="auto"/>
        <w:left w:val="none" w:sz="0" w:space="0" w:color="auto"/>
        <w:bottom w:val="none" w:sz="0" w:space="0" w:color="auto"/>
        <w:right w:val="none" w:sz="0" w:space="0" w:color="auto"/>
      </w:divBdr>
    </w:div>
    <w:div w:id="1781802105">
      <w:bodyDiv w:val="1"/>
      <w:marLeft w:val="0"/>
      <w:marRight w:val="0"/>
      <w:marTop w:val="0"/>
      <w:marBottom w:val="0"/>
      <w:divBdr>
        <w:top w:val="none" w:sz="0" w:space="0" w:color="auto"/>
        <w:left w:val="none" w:sz="0" w:space="0" w:color="auto"/>
        <w:bottom w:val="none" w:sz="0" w:space="0" w:color="auto"/>
        <w:right w:val="none" w:sz="0" w:space="0" w:color="auto"/>
      </w:divBdr>
    </w:div>
    <w:div w:id="18115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www.res-legal.eu/search-by-country/france/single/s/res-hc/t/promotion/aid/tax-regulation-mechanisms-ii-value-added-tax-reduction-1/lastp/131/" TargetMode="External"/><Relationship Id="rId13" Type="http://schemas.openxmlformats.org/officeDocument/2006/relationships/hyperlink" Target="http://www.developpement-durable.gouv.fr/Presentation-generale,25027.html" TargetMode="External"/><Relationship Id="rId18" Type="http://schemas.openxmlformats.org/officeDocument/2006/relationships/hyperlink" Target="http://www.res-legal.eu/search-by-country/france/single/s/res-t/t/promotion/aid/biofuel-quota-reduction-of-the-tax-on-polluting-activities-reduction-de-la-taxe-generale-sur-le/lastp/131/" TargetMode="External"/><Relationship Id="rId3" Type="http://schemas.openxmlformats.org/officeDocument/2006/relationships/hyperlink" Target="http://www.legifrance.gouv.fr/affichTexte.do;jsessionid=B8159E9B779A93928734F471FCDC158D.tpdjo13v_3?cidTexte=JORFTEXT000021645823&amp;dateTexte=20130212" TargetMode="External"/><Relationship Id="rId7" Type="http://schemas.openxmlformats.org/officeDocument/2006/relationships/hyperlink" Target="http://www.res-legal.eu/search-by-country/france/single/s/res-e/t/promotion/aid/tax-regulation-mechanisms-ii-value-added-tax-reduction/lastp/131/" TargetMode="External"/><Relationship Id="rId12" Type="http://schemas.openxmlformats.org/officeDocument/2006/relationships/hyperlink" Target="http://www2.ademe.fr/servlet/KBaseShow?sort=-1&amp;cid=96&amp;m=3&amp;catid=25160" TargetMode="External"/><Relationship Id="rId17" Type="http://schemas.openxmlformats.org/officeDocument/2006/relationships/hyperlink" Target="http://ldhcibp.wordpress.com/2012/10/10/agrocarburants-le-cadeau-de-54-millions-deuros-au-president-de-la-fnsea/" TargetMode="External"/><Relationship Id="rId2" Type="http://schemas.openxmlformats.org/officeDocument/2006/relationships/hyperlink" Target="http://ec.europa.eu/energy/renewables/action_plan_en.htm" TargetMode="External"/><Relationship Id="rId16" Type="http://schemas.openxmlformats.org/officeDocument/2006/relationships/hyperlink" Target="http://www.developpement-durable.gouv.fr/La-defiscalisation-partielle-des.html" TargetMode="External"/><Relationship Id="rId20" Type="http://schemas.openxmlformats.org/officeDocument/2006/relationships/hyperlink" Target="http://agriculture.gouv.fr/IMG/pdf/plan_lutte_contre_les_algues_vertes_0.pdf" TargetMode="External"/><Relationship Id="rId1" Type="http://schemas.openxmlformats.org/officeDocument/2006/relationships/hyperlink" Target="http://www.developpement-durable.gouv.fr/-Le-Grenelle-de-l-environnement-de-.html" TargetMode="External"/><Relationship Id="rId6" Type="http://schemas.openxmlformats.org/officeDocument/2006/relationships/hyperlink" Target="http://www.res-legal.eu/search-by-country/france/single/s/res-hc/t/promotion/aid/tax-regulation-mechanism-credit-dimpot-developpement-durable/lastp/131/" TargetMode="External"/><Relationship Id="rId11" Type="http://schemas.openxmlformats.org/officeDocument/2006/relationships/hyperlink" Target="http://www.cre.fr/documents/appels-d-offres" TargetMode="External"/><Relationship Id="rId5" Type="http://schemas.openxmlformats.org/officeDocument/2006/relationships/hyperlink" Target="http://www.res-legal.eu/search-by-country/france/single/s/res-e/t/promotion/aid/tax-regulation-mechanisms-i-credit-dimpot/lastp/131/" TargetMode="External"/><Relationship Id="rId15" Type="http://schemas.openxmlformats.org/officeDocument/2006/relationships/hyperlink" Target="http://agriculture.gouv.fr/plan-performance-energetique-des" TargetMode="External"/><Relationship Id="rId10" Type="http://schemas.openxmlformats.org/officeDocument/2006/relationships/hyperlink" Target="http://www.res-legal.eu/search-by-country/france/single/s/res-e/t/promotion/aid/tenders-appels-doffres/lastp/131/" TargetMode="External"/><Relationship Id="rId19" Type="http://schemas.openxmlformats.org/officeDocument/2006/relationships/hyperlink" Target="http://www.ademe.fr/bretagne/upload/communique/fichier/147fichier.pdf" TargetMode="External"/><Relationship Id="rId4" Type="http://schemas.openxmlformats.org/officeDocument/2006/relationships/hyperlink" Target="http://www.developpement-durable.gouv.fr/Les-tarifs-d-achat-de-l,12195.html" TargetMode="External"/><Relationship Id="rId9" Type="http://schemas.openxmlformats.org/officeDocument/2006/relationships/hyperlink" Target="http://www.res-legal.eu/search-by-country/france/single/s/res-hc/t/promotion/aid/loan-eco-pret-a-taux-zero/lastp/131/" TargetMode="External"/><Relationship Id="rId14" Type="http://schemas.openxmlformats.org/officeDocument/2006/relationships/hyperlink" Target="http://www.developpement-durable.gouv.fr/Dispositif-de-soutien-a-la-fili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C1EFBF4806B4C8FC2E389EFCC5CF3" ma:contentTypeVersion="0" ma:contentTypeDescription="Create a new document." ma:contentTypeScope="" ma:versionID="a5362f52b6d8fbb43449a579effcc57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177B8F2-2143-40B4-B49F-A3B4E6F42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B253248-90A8-4A1F-92A2-D2FEF8596665}">
  <ds:schemaRefs>
    <ds:schemaRef ds:uri="http://schemas.microsoft.com/sharepoint/v3/contenttype/forms"/>
  </ds:schemaRefs>
</ds:datastoreItem>
</file>

<file path=customXml/itemProps3.xml><?xml version="1.0" encoding="utf-8"?>
<ds:datastoreItem xmlns:ds="http://schemas.openxmlformats.org/officeDocument/2006/customXml" ds:itemID="{716696C1-0C2D-4EC1-8655-3F3274C79E9D}">
  <ds:schemaRefs>
    <ds:schemaRef ds:uri="http://schemas.microsoft.com/office/2006/metadata/properties"/>
  </ds:schemaRefs>
</ds:datastoreItem>
</file>

<file path=customXml/itemProps4.xml><?xml version="1.0" encoding="utf-8"?>
<ds:datastoreItem xmlns:ds="http://schemas.openxmlformats.org/officeDocument/2006/customXml" ds:itemID="{82C0CED1-90BB-41A3-8638-F98B5AC1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2852</Words>
  <Characters>16262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Smith</dc:creator>
  <cp:lastModifiedBy>Andrea Salimbeni</cp:lastModifiedBy>
  <cp:revision>2</cp:revision>
  <dcterms:created xsi:type="dcterms:W3CDTF">2015-09-18T11:08:00Z</dcterms:created>
  <dcterms:modified xsi:type="dcterms:W3CDTF">2015-09-18T11:08:00Z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0x010100F73C1EFBF4806B4C8FC2E389EFCC5CF3</vt:lpwstr>
  </property>
</Properties>
</file>