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65F4" w:rsidRPr="00A66428" w:rsidRDefault="000C65F4" w:rsidP="000C65F4">
      <w:pPr>
        <w:pStyle w:val="Titolo"/>
        <w:rPr>
          <w:rFonts w:cstheme="minorHAnsi"/>
        </w:rPr>
      </w:pPr>
      <w:bookmarkStart w:id="0" w:name="_GoBack"/>
      <w:bookmarkEnd w:id="0"/>
      <w:r w:rsidRPr="00A66428">
        <w:rPr>
          <w:rFonts w:cstheme="minorHAnsi"/>
        </w:rPr>
        <w:t xml:space="preserve">EnAlgae policy landscape analysis for </w:t>
      </w:r>
    </w:p>
    <w:p w:rsidR="000C65F4" w:rsidRPr="00A66428" w:rsidRDefault="000C65F4" w:rsidP="000C65F4">
      <w:pPr>
        <w:pStyle w:val="Titolo"/>
      </w:pPr>
      <w:r w:rsidRPr="00A66428">
        <w:t>the Netherlands</w:t>
      </w:r>
    </w:p>
    <w:p w:rsidR="003C632B" w:rsidRPr="00A66428" w:rsidRDefault="003C632B" w:rsidP="003C632B">
      <w:r w:rsidRPr="00A66428">
        <w:t>Landscaping of national policies of the Netherlands that can have an impact in algae cultivation revealed a number of strategies, mandates, and economic incentives for climate change, sustainability, biomass energy, and biobusiness. Many of the identified policies are in fact response mechanisms to EU-level overarching strategies and targets, but the Netherlands has set its own priorities and strategies in order to reach its national and EU targets. For example, consumers in the Netherlands can receive a tax benefit if they invest in a green fund. In return, banks offer green loans at lower interest rates to ‘green projects’ using the extra liquidity generated by the consumers’ investments. Such projects need to have a positive environmental impact in the categories of agriculture, sustainable resources, renewable energy etc.</w:t>
      </w:r>
    </w:p>
    <w:p w:rsidR="003C632B" w:rsidRPr="00A66428" w:rsidRDefault="003C632B" w:rsidP="003C632B">
      <w:r w:rsidRPr="00A66428">
        <w:t xml:space="preserve">Production of Energetic Algae (or algae for production of fuels and energy) is a strategic concept currently under development in the Netherlands, and in the last 5 years considerable efforts </w:t>
      </w:r>
      <w:r w:rsidR="00A150AE" w:rsidRPr="00A66428">
        <w:t xml:space="preserve">have been </w:t>
      </w:r>
      <w:r w:rsidRPr="00A66428">
        <w:t xml:space="preserve">undertaken to bring algae cultivation and biorefining technologies from a concept to the market. A number of algal policies and algal financial support schemes have been identified. First of all, algae cultivation and biorefining is included in the </w:t>
      </w:r>
      <w:hyperlink r:id="rId11" w:history="1">
        <w:r w:rsidRPr="00A66428">
          <w:rPr>
            <w:rStyle w:val="Collegamentoipertestuale"/>
          </w:rPr>
          <w:t>Environmental List 2014</w:t>
        </w:r>
      </w:hyperlink>
      <w:r w:rsidRPr="00A66428">
        <w:t xml:space="preserve"> (Milieulijst) that lists all commercial activities that are eligible to receive a tax refund on relevant investments. Also, Topsector energie, an instrument of Dutch Enterprise Agency, has a series of specialised financial support instruments that aim at assisting SMEs </w:t>
      </w:r>
      <w:r w:rsidR="00A150AE" w:rsidRPr="00A66428">
        <w:t xml:space="preserve">to </w:t>
      </w:r>
      <w:r w:rsidRPr="00A66428">
        <w:t>bring new algae technologies to the market. One of them, the ‘MIT Scheme Top Sectors Chemicals and Energy’, assists SMEs</w:t>
      </w:r>
      <w:r w:rsidR="00A150AE" w:rsidRPr="00A66428">
        <w:t xml:space="preserve"> to</w:t>
      </w:r>
      <w:r w:rsidRPr="00A66428">
        <w:t xml:space="preserve"> bring technologies for biorefining biomass like seaweed and micro-algae from a concept to the market</w:t>
      </w:r>
      <w:r w:rsidR="00A150AE" w:rsidRPr="00A66428">
        <w:t>,</w:t>
      </w:r>
      <w:r w:rsidRPr="00A66428">
        <w:t xml:space="preserve"> via subsidising technology feasibility analysis and technology research &amp; development. </w:t>
      </w:r>
      <w:r w:rsidR="00A150AE" w:rsidRPr="00A66428">
        <w:t xml:space="preserve"> For example, in</w:t>
      </w:r>
      <w:r w:rsidRPr="00A66428">
        <w:t xml:space="preserve"> 2009 the Dutch Small Business Innovation Research (</w:t>
      </w:r>
      <w:hyperlink r:id="rId12" w:history="1">
        <w:r w:rsidRPr="00A66428">
          <w:rPr>
            <w:rStyle w:val="Collegamentoipertestuale"/>
          </w:rPr>
          <w:t>SBIR</w:t>
        </w:r>
      </w:hyperlink>
      <w:r w:rsidRPr="00A66428">
        <w:t xml:space="preserve">) funded 100% </w:t>
      </w:r>
      <w:r w:rsidR="00A150AE" w:rsidRPr="00A66428">
        <w:t xml:space="preserve">of </w:t>
      </w:r>
      <w:r w:rsidRPr="00A66428">
        <w:t>the feasibility analysis and the R&amp;D phase of a project called ‘Cultivation and harvestingof seaweeds’. The project budget was €1.32 million and lasted for 4 year</w:t>
      </w:r>
      <w:r w:rsidR="00A150AE" w:rsidRPr="00A66428">
        <w:t>s</w:t>
      </w:r>
      <w:r w:rsidRPr="00A66428">
        <w:rPr>
          <w:rStyle w:val="Rimandonotaapidipagina"/>
        </w:rPr>
        <w:footnoteReference w:id="2"/>
      </w:r>
      <w:r w:rsidRPr="00A66428">
        <w:t>.</w:t>
      </w:r>
    </w:p>
    <w:p w:rsidR="003C632B" w:rsidRPr="00A66428" w:rsidRDefault="003C632B" w:rsidP="003C632B">
      <w:r w:rsidRPr="00A66428">
        <w:t xml:space="preserve">Apart from landscaping policies explicitly supporting energetic algae, </w:t>
      </w:r>
      <w:r w:rsidR="007C70E4">
        <w:t>to</w:t>
      </w:r>
      <w:r w:rsidR="007C70E4" w:rsidRPr="00EA44A4">
        <w:t xml:space="preserve"> identify policies that </w:t>
      </w:r>
      <w:r w:rsidR="007C70E4">
        <w:t>could affect</w:t>
      </w:r>
      <w:r w:rsidR="007C70E4" w:rsidRPr="00EA44A4">
        <w:t xml:space="preserve"> energetic algae, research </w:t>
      </w:r>
      <w:r w:rsidR="007C70E4">
        <w:t>was focussed on</w:t>
      </w:r>
      <w:r w:rsidR="007C70E4" w:rsidRPr="00EA44A4">
        <w:t xml:space="preserve"> generic biomass, bioenergy and environmental strategies.</w:t>
      </w:r>
      <w:r w:rsidRPr="00A66428">
        <w:t xml:space="preserve"> With regard to energy targets, the Netherlands has a primary obligation set in the EU Renewable En</w:t>
      </w:r>
      <w:r w:rsidR="00CE1DF9">
        <w:t>ergy Directive (RED) to source 14.5</w:t>
      </w:r>
      <w:r w:rsidRPr="00A66428">
        <w:t xml:space="preserve">% of its energy use from renewables by 2020, </w:t>
      </w:r>
      <w:r w:rsidR="00781D4E">
        <w:t>including 10% of fuels in transport.In response to RED targets, Netherlands plans to source 37</w:t>
      </w:r>
      <w:r w:rsidR="00781D4E" w:rsidRPr="00A66428">
        <w:t>% el</w:t>
      </w:r>
      <w:r w:rsidR="00781D4E">
        <w:t>ectricity and 8.7</w:t>
      </w:r>
      <w:r w:rsidR="00781D4E" w:rsidRPr="00A66428">
        <w:t>% rene</w:t>
      </w:r>
      <w:r w:rsidR="00781D4E">
        <w:t xml:space="preserve">wable heat consumption from renewable sources. </w:t>
      </w:r>
      <w:r w:rsidR="00C002A0" w:rsidRPr="00A66428">
        <w:t>At</w:t>
      </w:r>
      <w:r w:rsidRPr="00A66428">
        <w:t xml:space="preserve"> national level,</w:t>
      </w:r>
      <w:r w:rsidR="00C002A0" w:rsidRPr="00A66428">
        <w:t xml:space="preserve"> the</w:t>
      </w:r>
      <w:r w:rsidRPr="00A66428">
        <w:t xml:space="preserve"> Netherlands ha</w:t>
      </w:r>
      <w:r w:rsidR="00C002A0" w:rsidRPr="00A66428">
        <w:t>ve</w:t>
      </w:r>
      <w:r w:rsidRPr="00A66428">
        <w:t xml:space="preserve"> developed a strategic framework for building a competitive biobased Dutch economy by 2030 that is embedded in a trajectory plan for 2050.</w:t>
      </w:r>
    </w:p>
    <w:p w:rsidR="003C632B" w:rsidRPr="00A66428" w:rsidRDefault="003C632B" w:rsidP="003C632B">
      <w:r w:rsidRPr="00A66428">
        <w:t xml:space="preserve">Because sustainable development was identified as a strategic pathway for </w:t>
      </w:r>
      <w:r w:rsidR="009E5191" w:rsidRPr="00A66428">
        <w:t xml:space="preserve">the </w:t>
      </w:r>
      <w:r w:rsidRPr="00A66428">
        <w:t xml:space="preserve">Dutch bioeconomy, a ‘Sustainability Agenda: A Green Growth Strategy for the Netherlands’ was </w:t>
      </w:r>
      <w:r w:rsidR="009E5191" w:rsidRPr="00A66428">
        <w:t xml:space="preserve">initiated </w:t>
      </w:r>
      <w:r w:rsidRPr="00A66428">
        <w:t>in 2011. According to this agenda, priorities in focal points for creating a sustainable society are raw material and product chain</w:t>
      </w:r>
      <w:r w:rsidR="009E5191" w:rsidRPr="00A66428">
        <w:t>s</w:t>
      </w:r>
      <w:r w:rsidRPr="00A66428">
        <w:t>, sustainable use of land and water, food, and climate change among others.</w:t>
      </w:r>
    </w:p>
    <w:p w:rsidR="003C632B" w:rsidRPr="00A66428" w:rsidRDefault="003C632B" w:rsidP="003C632B">
      <w:r w:rsidRPr="00A66428">
        <w:lastRenderedPageBreak/>
        <w:t xml:space="preserve">Advanced bioenergy technologies that Dutch policies strategically support, for reducing their emissions and increasing the share of renewables in the energy mix, are primarily biomass power and bio-CHP, biomass gasification, water treatment and AD among others. Yet all these energy technologies have strong potential to use algae in their value chain. </w:t>
      </w:r>
      <w:r w:rsidR="009E5191" w:rsidRPr="00A66428">
        <w:t xml:space="preserve">The </w:t>
      </w:r>
      <w:r w:rsidRPr="00A66428">
        <w:t>Netherlands plan to support all these strategic energy technologies by creating support policies, providing financial incentives, and funding subsidies for underpinning technology development and demonstration. Moreover, uptake of strategic new energy technologies is supported mainly by feed-in tariffs schemes, tax reliefs, secured loans, and subsidies.</w:t>
      </w:r>
    </w:p>
    <w:p w:rsidR="003C632B" w:rsidRPr="00A66428" w:rsidRDefault="007C70E4" w:rsidP="003C632B">
      <w:r>
        <w:t>In the following section</w:t>
      </w:r>
      <w:r w:rsidR="003C632B" w:rsidRPr="00A66428">
        <w:t>findings from landscape analysis of Dutch legislation are listed by topic. First are presented the overarching strategies and acts followed by targeting incentives on bioenergy, biorefining, biofuels, and the environment.</w:t>
      </w:r>
    </w:p>
    <w:p w:rsidR="005C6381" w:rsidRPr="00A66428" w:rsidRDefault="005C6381" w:rsidP="00496219"/>
    <w:p w:rsidR="003C632B" w:rsidRPr="00A66428" w:rsidRDefault="003C632B" w:rsidP="00496219">
      <w:pPr>
        <w:sectPr w:rsidR="003C632B" w:rsidRPr="00A66428" w:rsidSect="000C65F4">
          <w:pgSz w:w="11906" w:h="16838"/>
          <w:pgMar w:top="1440" w:right="1440" w:bottom="1440" w:left="1440" w:header="709" w:footer="709" w:gutter="0"/>
          <w:cols w:space="708"/>
          <w:docGrid w:linePitch="360"/>
        </w:sectPr>
      </w:pPr>
    </w:p>
    <w:p w:rsidR="000C65F4" w:rsidRPr="00A66428" w:rsidRDefault="000C65F4" w:rsidP="000C65F4">
      <w:pPr>
        <w:pStyle w:val="Titolo1"/>
        <w:rPr>
          <w:rFonts w:eastAsiaTheme="majorEastAsia"/>
        </w:rPr>
      </w:pPr>
      <w:r w:rsidRPr="00A66428">
        <w:rPr>
          <w:rFonts w:eastAsiaTheme="majorEastAsia"/>
        </w:rPr>
        <w:lastRenderedPageBreak/>
        <w:t>General Policy Framework</w:t>
      </w:r>
    </w:p>
    <w:tbl>
      <w:tblPr>
        <w:tblStyle w:val="Sfondomedio1-Colore2"/>
        <w:tblW w:w="0" w:type="auto"/>
        <w:tblLook w:val="06A0"/>
      </w:tblPr>
      <w:tblGrid>
        <w:gridCol w:w="3041"/>
        <w:gridCol w:w="11133"/>
      </w:tblGrid>
      <w:tr w:rsidR="00496219" w:rsidRPr="00A66428" w:rsidTr="005C6381">
        <w:trPr>
          <w:cnfStyle w:val="100000000000"/>
          <w:cantSplit/>
        </w:trPr>
        <w:tc>
          <w:tcPr>
            <w:cnfStyle w:val="001000000000"/>
            <w:tcW w:w="0" w:type="auto"/>
          </w:tcPr>
          <w:p w:rsidR="00496219" w:rsidRPr="00A66428" w:rsidRDefault="00496219" w:rsidP="001234D6">
            <w:pPr>
              <w:pStyle w:val="Nessunaspaziatura"/>
              <w:rPr>
                <w:b w:val="0"/>
              </w:rPr>
            </w:pPr>
            <w:r w:rsidRPr="00A66428">
              <w:t>Policy</w:t>
            </w:r>
          </w:p>
        </w:tc>
        <w:tc>
          <w:tcPr>
            <w:tcW w:w="0" w:type="auto"/>
          </w:tcPr>
          <w:p w:rsidR="00496219" w:rsidRPr="00A66428" w:rsidRDefault="00496219" w:rsidP="001234D6">
            <w:pPr>
              <w:pStyle w:val="Nessunaspaziatura"/>
              <w:cnfStyle w:val="100000000000"/>
              <w:rPr>
                <w:b w:val="0"/>
              </w:rPr>
            </w:pPr>
            <w:r w:rsidRPr="00A66428">
              <w:t>Key Measures/Aims</w:t>
            </w:r>
          </w:p>
        </w:tc>
      </w:tr>
      <w:tr w:rsidR="00CA7201" w:rsidRPr="00A66428" w:rsidTr="005C6381">
        <w:trPr>
          <w:cantSplit/>
        </w:trPr>
        <w:tc>
          <w:tcPr>
            <w:cnfStyle w:val="001000000000"/>
            <w:tcW w:w="0" w:type="auto"/>
          </w:tcPr>
          <w:p w:rsidR="00CA7201" w:rsidRPr="00A66428" w:rsidRDefault="00CA7201" w:rsidP="001234D6">
            <w:pPr>
              <w:pStyle w:val="Nessunaspaziatura"/>
            </w:pPr>
            <w:r w:rsidRPr="00A66428">
              <w:t>Dutch Environmental Management Act - 1993</w:t>
            </w:r>
          </w:p>
        </w:tc>
        <w:tc>
          <w:tcPr>
            <w:tcW w:w="0" w:type="auto"/>
          </w:tcPr>
          <w:p w:rsidR="00CA7201" w:rsidRPr="00A66428" w:rsidRDefault="00E47E77" w:rsidP="001234D6">
            <w:pPr>
              <w:pStyle w:val="Nessunaspaziatura"/>
              <w:cnfStyle w:val="000000000000"/>
            </w:pPr>
            <w:r w:rsidRPr="00A66428">
              <w:t>This Act</w:t>
            </w:r>
            <w:r w:rsidR="00CA7201" w:rsidRPr="00A66428">
              <w:t xml:space="preserve"> creates the possibility to incorporate energy efficiency requirements into environmental licenses or permits. The Environmental Management Act, the transposition of the IPPC Directive into national legislation, states that every installation having a licensing obligation, has to integrate energy efficiency according to the ALARA principle, i.e. As Low As Reasonably Achievable. This created the possibility to incorporate energy efficiency requirements into environmental licenses or permits. Companies that participate in the Benchmarking agreement, the LTAs and/or the EU ETS are automatically granted compliance with the relevant energy- or CO</w:t>
            </w:r>
            <w:r w:rsidR="00CA7201" w:rsidRPr="00A66428">
              <w:rPr>
                <w:vertAlign w:val="subscript"/>
              </w:rPr>
              <w:t>2</w:t>
            </w:r>
            <w:r w:rsidR="00CA7201" w:rsidRPr="00A66428">
              <w:t>-related requirements of the EMA permits.</w:t>
            </w:r>
          </w:p>
        </w:tc>
      </w:tr>
      <w:tr w:rsidR="00CA7201" w:rsidRPr="00A66428" w:rsidTr="005C6381">
        <w:trPr>
          <w:cantSplit/>
        </w:trPr>
        <w:tc>
          <w:tcPr>
            <w:cnfStyle w:val="001000000000"/>
            <w:tcW w:w="0" w:type="auto"/>
          </w:tcPr>
          <w:p w:rsidR="00CA7201" w:rsidRPr="00A66428" w:rsidRDefault="00CA7201" w:rsidP="001234D6">
            <w:pPr>
              <w:pStyle w:val="Nessunaspaziatura"/>
              <w:rPr>
                <w:lang w:val="da-DK"/>
              </w:rPr>
            </w:pPr>
            <w:r w:rsidRPr="00A66428">
              <w:rPr>
                <w:lang w:val="da-DK"/>
              </w:rPr>
              <w:t>Groen beleggen en financieren’ (Green Loan), 2005</w:t>
            </w:r>
          </w:p>
        </w:tc>
        <w:tc>
          <w:tcPr>
            <w:tcW w:w="0" w:type="auto"/>
          </w:tcPr>
          <w:p w:rsidR="00CA7201" w:rsidRPr="00A66428" w:rsidRDefault="00CA7201" w:rsidP="001234D6">
            <w:pPr>
              <w:pStyle w:val="Nessunaspaziatura"/>
              <w:cnfStyle w:val="000000000000"/>
            </w:pPr>
            <w:r w:rsidRPr="00A66428">
              <w:t xml:space="preserve">Consumers can receive a tax benefit if they invest in a green fund. In return, banks offer green loans at lower interest rates to so-called ‘green projects’ using the extra liquidity generated by the consumers’ investments. These projects need to have a positive environmental impact in the categories of nature, bio-agriculture, agriculture, sustainable resources, recycling, renewable energy, energy saving, sustainable construction, sustainable mobility, or the sustainable water cycle. In 2011, the approved amount of support was € 0.5 </w:t>
            </w:r>
            <w:r w:rsidR="00A31898" w:rsidRPr="00A66428">
              <w:t>billion.</w:t>
            </w:r>
          </w:p>
        </w:tc>
      </w:tr>
      <w:tr w:rsidR="00CA7201" w:rsidRPr="00A66428" w:rsidTr="005C6381">
        <w:trPr>
          <w:cantSplit/>
        </w:trPr>
        <w:tc>
          <w:tcPr>
            <w:cnfStyle w:val="001000000000"/>
            <w:tcW w:w="0" w:type="auto"/>
          </w:tcPr>
          <w:p w:rsidR="00CA7201" w:rsidRPr="00A66428" w:rsidRDefault="00CA7201" w:rsidP="001234D6">
            <w:pPr>
              <w:pStyle w:val="Nessunaspaziatura"/>
            </w:pPr>
            <w:r w:rsidRPr="00A66428">
              <w:t>Covenant agricultural sector, 2008</w:t>
            </w:r>
          </w:p>
        </w:tc>
        <w:tc>
          <w:tcPr>
            <w:tcW w:w="0" w:type="auto"/>
          </w:tcPr>
          <w:p w:rsidR="00CA7201" w:rsidRPr="00A66428" w:rsidRDefault="00CA7201" w:rsidP="001234D6">
            <w:pPr>
              <w:pStyle w:val="Nessunaspaziatura"/>
              <w:cnfStyle w:val="000000000000"/>
              <w:rPr>
                <w:szCs w:val="22"/>
              </w:rPr>
            </w:pPr>
            <w:r w:rsidRPr="00A66428">
              <w:rPr>
                <w:szCs w:val="22"/>
              </w:rPr>
              <w:t>Voluntary agreement on clean and efficient agricultural sectors incl. energy efficiency and renewables in agriculture. The goal is a reduction of CO</w:t>
            </w:r>
            <w:r w:rsidRPr="00A66428">
              <w:rPr>
                <w:szCs w:val="22"/>
                <w:vertAlign w:val="subscript"/>
              </w:rPr>
              <w:t>2</w:t>
            </w:r>
            <w:r w:rsidRPr="00A66428">
              <w:rPr>
                <w:szCs w:val="22"/>
              </w:rPr>
              <w:t xml:space="preserve"> emissions by 4.5 mega tonnes per year.</w:t>
            </w:r>
          </w:p>
        </w:tc>
      </w:tr>
      <w:tr w:rsidR="00CA7201" w:rsidRPr="00A66428" w:rsidTr="005C6381">
        <w:trPr>
          <w:cantSplit/>
          <w:trHeight w:val="64"/>
        </w:trPr>
        <w:tc>
          <w:tcPr>
            <w:cnfStyle w:val="001000000000"/>
            <w:tcW w:w="0" w:type="auto"/>
          </w:tcPr>
          <w:p w:rsidR="00CA7201" w:rsidRPr="00A66428" w:rsidRDefault="00CA7201" w:rsidP="001234D6">
            <w:pPr>
              <w:pStyle w:val="Nessunaspaziatura"/>
            </w:pPr>
            <w:r w:rsidRPr="00A66428">
              <w:t>Energy Innovation Agenda</w:t>
            </w:r>
            <w:r w:rsidRPr="00A66428">
              <w:rPr>
                <w:vertAlign w:val="superscript"/>
              </w:rPr>
              <w:footnoteReference w:id="3"/>
            </w:r>
            <w:r w:rsidRPr="00A66428">
              <w:t>, 2008</w:t>
            </w:r>
          </w:p>
        </w:tc>
        <w:tc>
          <w:tcPr>
            <w:tcW w:w="0" w:type="auto"/>
          </w:tcPr>
          <w:p w:rsidR="00CA7201" w:rsidRPr="00A66428" w:rsidRDefault="00CA7201" w:rsidP="001234D6">
            <w:pPr>
              <w:pStyle w:val="Nessunaspaziatura"/>
              <w:cnfStyle w:val="000000000000"/>
            </w:pPr>
            <w:r w:rsidRPr="00A66428">
              <w:t xml:space="preserve">The Energy Innovation Agenda covers the period 2008-2012 and sets in trajectory the 2020 targets. It is complementary to the ‘Clean and Efficient’ work programme. It sets targets </w:t>
            </w:r>
            <w:r w:rsidR="00BA5FE7" w:rsidRPr="00A66428">
              <w:t xml:space="preserve">by </w:t>
            </w:r>
            <w:r w:rsidRPr="00A66428">
              <w:t xml:space="preserve">2020 </w:t>
            </w:r>
            <w:r w:rsidR="00BA5FE7" w:rsidRPr="00A66428">
              <w:t>for</w:t>
            </w:r>
            <w:r w:rsidRPr="00A66428">
              <w:t xml:space="preserve"> 20% renewable energy (including biomass), 5.75% biofuels in road transport in 2010, thereafter increasing further to a least 10% in 2020 (this latter condition depending on sustainability, cost-effectiveness and the availability of 2nd-generation biofuels), around 500 MW extra electricity/heat capacity by using biomass and an aspiration for 2nd generation technology to be used on a large scale. By 2050 the targets are for 1000 PJ/year from biomass,</w:t>
            </w:r>
            <w:r w:rsidR="00BA5FE7" w:rsidRPr="00A66428">
              <w:t xml:space="preserve"> from</w:t>
            </w:r>
            <w:r w:rsidRPr="00A66428">
              <w:t xml:space="preserve"> a mature biorefining sector. The innovation activities here are focussed on the following areas: Green Feedstock, New Gas, Sustainable Electricity Supply, Sustainable Mobility, Efficiency in the Chain, Built Environment, Glasshouse as an Energy Source.</w:t>
            </w:r>
          </w:p>
        </w:tc>
      </w:tr>
      <w:tr w:rsidR="00CA7201" w:rsidRPr="00A66428" w:rsidTr="005C6381">
        <w:trPr>
          <w:cantSplit/>
          <w:trHeight w:val="64"/>
        </w:trPr>
        <w:tc>
          <w:tcPr>
            <w:cnfStyle w:val="001000000000"/>
            <w:tcW w:w="0" w:type="auto"/>
          </w:tcPr>
          <w:p w:rsidR="00CA7201" w:rsidRPr="00A66428" w:rsidRDefault="00CA7201" w:rsidP="001234D6">
            <w:pPr>
              <w:pStyle w:val="Nessunaspaziatura"/>
            </w:pPr>
            <w:r w:rsidRPr="00A66428">
              <w:rPr>
                <w:rFonts w:cs="EgyptienneF-Roman"/>
              </w:rPr>
              <w:t>Clean and Efficient: New Energy for Climate Policy,</w:t>
            </w:r>
            <w:r w:rsidRPr="00A66428">
              <w:t xml:space="preserve"> Schoon en Zuinig, 2008</w:t>
            </w:r>
            <w:r w:rsidRPr="00A66428">
              <w:rPr>
                <w:rStyle w:val="Rimandonotaapidipagina"/>
              </w:rPr>
              <w:footnoteReference w:id="4"/>
            </w:r>
          </w:p>
        </w:tc>
        <w:tc>
          <w:tcPr>
            <w:tcW w:w="0" w:type="auto"/>
          </w:tcPr>
          <w:p w:rsidR="00041CBE" w:rsidRPr="00A66428" w:rsidRDefault="00CA7201" w:rsidP="001234D6">
            <w:pPr>
              <w:pStyle w:val="Nessunaspaziatura"/>
              <w:cnfStyle w:val="000000000000"/>
            </w:pPr>
            <w:r w:rsidRPr="00A66428">
              <w:t>This is the roadmap which outlines how carbon emissions will be met in the Netherlands by 2050. The Netherlands targets are linked to the EU ambition of 80-95% CO</w:t>
            </w:r>
            <w:r w:rsidRPr="00A66428">
              <w:rPr>
                <w:vertAlign w:val="subscript"/>
              </w:rPr>
              <w:t>2e</w:t>
            </w:r>
            <w:r w:rsidRPr="00A66428">
              <w:t xml:space="preserve"> reductions by 2050 compared to a 1990 baseline. </w:t>
            </w:r>
          </w:p>
          <w:p w:rsidR="00CA7201" w:rsidRPr="00A66428" w:rsidRDefault="00CA7201" w:rsidP="001234D6">
            <w:pPr>
              <w:pStyle w:val="Nessunaspaziatura"/>
              <w:cnfStyle w:val="000000000000"/>
            </w:pPr>
            <w:r w:rsidRPr="00A66428">
              <w:t>Targets for 2020 are more concrete and consist of three principal targets:</w:t>
            </w:r>
          </w:p>
          <w:p w:rsidR="00CA7201" w:rsidRPr="00A66428" w:rsidRDefault="00CA7201" w:rsidP="001234D6">
            <w:pPr>
              <w:pStyle w:val="Nessunaspaziatura"/>
              <w:numPr>
                <w:ilvl w:val="0"/>
                <w:numId w:val="7"/>
              </w:numPr>
              <w:cnfStyle w:val="000000000000"/>
              <w:rPr>
                <w:rFonts w:cs="Helvetica"/>
              </w:rPr>
            </w:pPr>
            <w:r w:rsidRPr="00A66428">
              <w:t>30% reduction in CO</w:t>
            </w:r>
            <w:r w:rsidRPr="00A66428">
              <w:rPr>
                <w:vertAlign w:val="subscript"/>
              </w:rPr>
              <w:t>2e</w:t>
            </w:r>
            <w:r w:rsidRPr="00A66428">
              <w:t xml:space="preserve"> in 2020 against 1990 baseline</w:t>
            </w:r>
          </w:p>
          <w:p w:rsidR="00CA7201" w:rsidRPr="00A66428" w:rsidRDefault="00CA7201" w:rsidP="001234D6">
            <w:pPr>
              <w:pStyle w:val="Nessunaspaziatura"/>
              <w:numPr>
                <w:ilvl w:val="0"/>
                <w:numId w:val="7"/>
              </w:numPr>
              <w:cnfStyle w:val="000000000000"/>
              <w:rPr>
                <w:rFonts w:cs="Helvetica"/>
              </w:rPr>
            </w:pPr>
            <w:r w:rsidRPr="00A66428">
              <w:t>20% of Dutch energy consumption in 2020 should be from renewable sources such as wind, solar and/or bio</w:t>
            </w:r>
          </w:p>
          <w:p w:rsidR="00CA7201" w:rsidRPr="00A66428" w:rsidRDefault="00CA7201" w:rsidP="001234D6">
            <w:pPr>
              <w:pStyle w:val="Nessunaspaziatura"/>
              <w:numPr>
                <w:ilvl w:val="0"/>
                <w:numId w:val="7"/>
              </w:numPr>
              <w:cnfStyle w:val="000000000000"/>
            </w:pPr>
            <w:r w:rsidRPr="00A66428">
              <w:t>Aim to reduce energy consumption by 20% in 2020 compared to the 1990 level (</w:t>
            </w:r>
            <w:r w:rsidRPr="00A66428">
              <w:rPr>
                <w:rFonts w:cs="RijksoverheidSerif-Regular"/>
              </w:rPr>
              <w:t>2% annual energy savings</w:t>
            </w:r>
            <w:r w:rsidRPr="00A66428">
              <w:t xml:space="preserve">). </w:t>
            </w:r>
          </w:p>
        </w:tc>
      </w:tr>
      <w:tr w:rsidR="00CA7201" w:rsidRPr="00A66428" w:rsidTr="005C6381">
        <w:trPr>
          <w:cantSplit/>
          <w:trHeight w:val="64"/>
        </w:trPr>
        <w:tc>
          <w:tcPr>
            <w:cnfStyle w:val="001000000000"/>
            <w:tcW w:w="0" w:type="auto"/>
          </w:tcPr>
          <w:p w:rsidR="00CA7201" w:rsidRPr="00A66428" w:rsidRDefault="00CA7201" w:rsidP="001234D6">
            <w:pPr>
              <w:pStyle w:val="Nessunaspaziatura"/>
            </w:pPr>
            <w:r w:rsidRPr="00A66428">
              <w:lastRenderedPageBreak/>
              <w:t>National Renewable Energy Action Plan, 2009</w:t>
            </w:r>
            <w:r w:rsidRPr="00A66428">
              <w:rPr>
                <w:rStyle w:val="Rimandonotaapidipagina"/>
              </w:rPr>
              <w:footnoteReference w:id="5"/>
            </w:r>
          </w:p>
        </w:tc>
        <w:tc>
          <w:tcPr>
            <w:tcW w:w="0" w:type="auto"/>
          </w:tcPr>
          <w:p w:rsidR="00CA7201" w:rsidRPr="00A66428" w:rsidRDefault="00CA7201" w:rsidP="00CE1DF9">
            <w:pPr>
              <w:pStyle w:val="Nessunaspaziatura"/>
              <w:cnfStyle w:val="000000000000"/>
            </w:pPr>
            <w:r w:rsidRPr="00A66428">
              <w:t>The Renewable Energy Action Plan for the Netherlands outlines h</w:t>
            </w:r>
            <w:r w:rsidR="00CE1DF9">
              <w:t>ow the country will achieve a 14.5</w:t>
            </w:r>
            <w:r w:rsidRPr="00A66428">
              <w:t>%total energy demand from renewables. This target</w:t>
            </w:r>
            <w:r w:rsidR="00A91909" w:rsidRPr="00A66428">
              <w:t xml:space="preserve"> is</w:t>
            </w:r>
            <w:r w:rsidRPr="00A66428">
              <w:t xml:space="preserve"> to be met in the following proportions: 3</w:t>
            </w:r>
            <w:r w:rsidR="00CE1DF9">
              <w:t>7</w:t>
            </w:r>
            <w:r w:rsidRPr="00A66428">
              <w:t>% electricity,</w:t>
            </w:r>
            <w:r w:rsidR="00CE1DF9">
              <w:t xml:space="preserve"> 8,7% heat and cool, 10.3% transport.</w:t>
            </w:r>
          </w:p>
        </w:tc>
      </w:tr>
      <w:tr w:rsidR="00CA7201" w:rsidRPr="00A66428" w:rsidTr="005C6381">
        <w:trPr>
          <w:cantSplit/>
        </w:trPr>
        <w:tc>
          <w:tcPr>
            <w:cnfStyle w:val="001000000000"/>
            <w:tcW w:w="0" w:type="auto"/>
          </w:tcPr>
          <w:p w:rsidR="00CA7201" w:rsidRPr="00A66428" w:rsidRDefault="00CA7201" w:rsidP="001234D6">
            <w:pPr>
              <w:pStyle w:val="Nessunaspaziatura"/>
            </w:pPr>
            <w:r w:rsidRPr="00A66428">
              <w:t>Green Deal</w:t>
            </w:r>
            <w:r w:rsidRPr="00A66428">
              <w:rPr>
                <w:vertAlign w:val="superscript"/>
              </w:rPr>
              <w:footnoteReference w:id="6"/>
            </w:r>
            <w:r w:rsidRPr="00A66428">
              <w:t xml:space="preserve"> 2011</w:t>
            </w:r>
          </w:p>
        </w:tc>
        <w:tc>
          <w:tcPr>
            <w:tcW w:w="0" w:type="auto"/>
          </w:tcPr>
          <w:p w:rsidR="00CA7201" w:rsidRPr="00A66428" w:rsidRDefault="00CA7201" w:rsidP="001234D6">
            <w:pPr>
              <w:pStyle w:val="Nessunaspaziatura"/>
              <w:cnfStyle w:val="000000000000"/>
            </w:pPr>
            <w:r w:rsidRPr="00A66428">
              <w:t>A Green Deal is an agreement between the national Government and companies, local governments and private individuals to stimulate sustainability in exchange for conditionally eliminating bottlenecks in regulation</w:t>
            </w:r>
            <w:r w:rsidR="00043E46" w:rsidRPr="00A66428">
              <w:t xml:space="preserve">. </w:t>
            </w:r>
            <w:r w:rsidRPr="00A66428">
              <w:t>Projects supported by the Green Deal can then be imitated by others, helping increase the impact of the Green Deal. A further round of Green Deal projects is planned for 2012, and will support projects in the following areas: energy, raw materials, mobility and water. In 2012, about 75 new deals have been signed, bringing the total to 150.</w:t>
            </w:r>
          </w:p>
        </w:tc>
      </w:tr>
      <w:tr w:rsidR="00CA7201" w:rsidRPr="00A66428" w:rsidTr="005C6381">
        <w:trPr>
          <w:cantSplit/>
        </w:trPr>
        <w:tc>
          <w:tcPr>
            <w:cnfStyle w:val="001000000000"/>
            <w:tcW w:w="0" w:type="auto"/>
          </w:tcPr>
          <w:p w:rsidR="00CA7201" w:rsidRPr="00A66428" w:rsidRDefault="00CA7201" w:rsidP="001234D6">
            <w:pPr>
              <w:pStyle w:val="Nessunaspaziatura"/>
            </w:pPr>
            <w:r w:rsidRPr="00A66428">
              <w:t xml:space="preserve">Sustainability Agenda: ‘A Green Growth Strategy for the Netherlands’ </w:t>
            </w:r>
            <w:r w:rsidRPr="00A66428">
              <w:rPr>
                <w:rFonts w:cs="TTE1BEBDE8t00"/>
              </w:rPr>
              <w:t>in 2011</w:t>
            </w:r>
            <w:r w:rsidRPr="00A66428">
              <w:rPr>
                <w:rStyle w:val="Rimandonotaapidipagina"/>
                <w:rFonts w:cs="TTE1BEBDE8t00"/>
              </w:rPr>
              <w:footnoteReference w:id="7"/>
            </w:r>
          </w:p>
        </w:tc>
        <w:tc>
          <w:tcPr>
            <w:tcW w:w="0" w:type="auto"/>
          </w:tcPr>
          <w:p w:rsidR="00CA7201" w:rsidRPr="00A66428" w:rsidRDefault="00A91909" w:rsidP="001234D6">
            <w:pPr>
              <w:pStyle w:val="Nessunaspaziatura"/>
              <w:cnfStyle w:val="000000000000"/>
              <w:rPr>
                <w:rFonts w:cs="TTE1BEBDE8t00"/>
                <w:szCs w:val="22"/>
              </w:rPr>
            </w:pPr>
            <w:r w:rsidRPr="00A66428">
              <w:rPr>
                <w:rFonts w:cs="TTE1BEBDE8t00"/>
                <w:szCs w:val="22"/>
              </w:rPr>
              <w:t>The agenda</w:t>
            </w:r>
            <w:r w:rsidR="00CA7201" w:rsidRPr="00A66428">
              <w:rPr>
                <w:rFonts w:cs="TTE1BEBDE8t00"/>
                <w:szCs w:val="22"/>
              </w:rPr>
              <w:t xml:space="preserve"> sets out the government’s aim to create a more sustainable society, and it enumerates main priorities and the main actions it would tak</w:t>
            </w:r>
            <w:r w:rsidR="00731CB1" w:rsidRPr="00A66428">
              <w:rPr>
                <w:rFonts w:cs="TTE1BEBDE8t00"/>
                <w:szCs w:val="22"/>
              </w:rPr>
              <w:t xml:space="preserve">e to create a greener economy. </w:t>
            </w:r>
            <w:r w:rsidR="00CA7201" w:rsidRPr="00A66428">
              <w:rPr>
                <w:rFonts w:cs="TTE1BEBDE8t00"/>
                <w:szCs w:val="22"/>
              </w:rPr>
              <w:t>Priorities in focal points: Raw material and product chain, Sustainable use of land and water, Food, Climate change, Mobility, and Cross-cutting actions.</w:t>
            </w:r>
          </w:p>
        </w:tc>
      </w:tr>
      <w:tr w:rsidR="00CA7201" w:rsidRPr="00A66428" w:rsidTr="005C6381">
        <w:trPr>
          <w:cantSplit/>
        </w:trPr>
        <w:tc>
          <w:tcPr>
            <w:cnfStyle w:val="001000000000"/>
            <w:tcW w:w="0" w:type="auto"/>
          </w:tcPr>
          <w:p w:rsidR="00CA7201" w:rsidRPr="00A66428" w:rsidRDefault="00CA7201" w:rsidP="001234D6">
            <w:pPr>
              <w:pStyle w:val="Nessunaspaziatura"/>
              <w:rPr>
                <w:szCs w:val="22"/>
              </w:rPr>
            </w:pPr>
            <w:r w:rsidRPr="00A66428">
              <w:rPr>
                <w:szCs w:val="22"/>
              </w:rPr>
              <w:t>Climate policy en route to 2020 (8 June 2011)</w:t>
            </w:r>
          </w:p>
          <w:p w:rsidR="00CA7201" w:rsidRPr="00A66428" w:rsidRDefault="00CA7201" w:rsidP="001234D6">
            <w:pPr>
              <w:pStyle w:val="Nessunaspaziatura"/>
              <w:rPr>
                <w:bCs w:val="0"/>
              </w:rPr>
            </w:pPr>
          </w:p>
        </w:tc>
        <w:tc>
          <w:tcPr>
            <w:tcW w:w="0" w:type="auto"/>
          </w:tcPr>
          <w:p w:rsidR="00CA7201" w:rsidRPr="00A66428" w:rsidRDefault="00CA7201" w:rsidP="001234D6">
            <w:pPr>
              <w:pStyle w:val="Nessunaspaziatura"/>
              <w:cnfStyle w:val="000000000000"/>
              <w:rPr>
                <w:szCs w:val="22"/>
              </w:rPr>
            </w:pPr>
            <w:r w:rsidRPr="00A66428">
              <w:rPr>
                <w:szCs w:val="22"/>
              </w:rPr>
              <w:t>The strategy contains a combination of different policies, such as covenants for actions, legislation, subsidies, and fiscal stimuli for different sectors. For example</w:t>
            </w:r>
            <w:r w:rsidR="00A91909" w:rsidRPr="00A66428">
              <w:rPr>
                <w:szCs w:val="22"/>
              </w:rPr>
              <w:t>,</w:t>
            </w:r>
            <w:r w:rsidRPr="00A66428">
              <w:rPr>
                <w:szCs w:val="22"/>
              </w:rPr>
              <w:t>in the agricultural sector it sets up the goal of reducing CO</w:t>
            </w:r>
            <w:r w:rsidRPr="00A66428">
              <w:rPr>
                <w:szCs w:val="22"/>
                <w:vertAlign w:val="subscript"/>
              </w:rPr>
              <w:t>2</w:t>
            </w:r>
            <w:r w:rsidRPr="00A66428">
              <w:rPr>
                <w:szCs w:val="22"/>
              </w:rPr>
              <w:t xml:space="preserve"> emissions by 4.5 mega tonnes per year. By 2020, 200 PJ of renewable energy from biomass shall be produced each year.</w:t>
            </w:r>
          </w:p>
        </w:tc>
      </w:tr>
      <w:tr w:rsidR="00CA7201" w:rsidRPr="00A66428" w:rsidTr="005C6381">
        <w:trPr>
          <w:cantSplit/>
        </w:trPr>
        <w:tc>
          <w:tcPr>
            <w:cnfStyle w:val="001000000000"/>
            <w:tcW w:w="0" w:type="auto"/>
          </w:tcPr>
          <w:p w:rsidR="00CA7201" w:rsidRPr="00A66428" w:rsidRDefault="00CA7201" w:rsidP="001234D6">
            <w:pPr>
              <w:pStyle w:val="Nessunaspaziatura"/>
              <w:rPr>
                <w:bCs w:val="0"/>
                <w:szCs w:val="22"/>
              </w:rPr>
            </w:pPr>
            <w:r w:rsidRPr="00A66428">
              <w:rPr>
                <w:rFonts w:cs="TTE1BEBDE8t00"/>
                <w:szCs w:val="22"/>
              </w:rPr>
              <w:t>Climate Letter 2050</w:t>
            </w:r>
            <w:r w:rsidRPr="00A66428">
              <w:rPr>
                <w:rFonts w:cs="Verdana"/>
                <w:szCs w:val="22"/>
              </w:rPr>
              <w:t xml:space="preserve"> - Klimaatbrief 2050</w:t>
            </w:r>
            <w:r w:rsidRPr="00A66428">
              <w:rPr>
                <w:rStyle w:val="Rimandonotaapidipagina"/>
                <w:rFonts w:cs="Verdana"/>
                <w:sz w:val="22"/>
                <w:szCs w:val="22"/>
              </w:rPr>
              <w:footnoteReference w:id="8"/>
            </w:r>
            <w:r w:rsidRPr="00A66428">
              <w:rPr>
                <w:rFonts w:cs="Verdana"/>
                <w:szCs w:val="22"/>
              </w:rPr>
              <w:t xml:space="preserve"> (2011)</w:t>
            </w:r>
          </w:p>
        </w:tc>
        <w:tc>
          <w:tcPr>
            <w:tcW w:w="0" w:type="auto"/>
          </w:tcPr>
          <w:p w:rsidR="00CA7201" w:rsidRPr="00A66428" w:rsidRDefault="00A91909" w:rsidP="001234D6">
            <w:pPr>
              <w:pStyle w:val="Nessunaspaziatura"/>
              <w:cnfStyle w:val="000000000000"/>
              <w:rPr>
                <w:szCs w:val="22"/>
              </w:rPr>
            </w:pPr>
            <w:r w:rsidRPr="00A66428">
              <w:rPr>
                <w:rFonts w:cs="TTE1BEBDE8t00"/>
                <w:szCs w:val="22"/>
              </w:rPr>
              <w:t>The Climate Letter 2050</w:t>
            </w:r>
            <w:r w:rsidR="00CA7201" w:rsidRPr="00A66428">
              <w:rPr>
                <w:rFonts w:cs="TTE1BEBDE8t00"/>
                <w:szCs w:val="22"/>
              </w:rPr>
              <w:t xml:space="preserve"> set out the challenges facing the Netherlands on the road to a competitive, climate-neutral Europe in 2050.</w:t>
            </w:r>
          </w:p>
        </w:tc>
      </w:tr>
      <w:tr w:rsidR="00CA7201" w:rsidRPr="00A66428" w:rsidTr="005C6381">
        <w:trPr>
          <w:cantSplit/>
        </w:trPr>
        <w:tc>
          <w:tcPr>
            <w:cnfStyle w:val="001000000000"/>
            <w:tcW w:w="0" w:type="auto"/>
          </w:tcPr>
          <w:p w:rsidR="00CA7201" w:rsidRPr="00A66428" w:rsidRDefault="00CA7201" w:rsidP="001234D6">
            <w:pPr>
              <w:pStyle w:val="Nessunaspaziatura"/>
              <w:rPr>
                <w:bCs w:val="0"/>
                <w:szCs w:val="22"/>
              </w:rPr>
            </w:pPr>
            <w:r w:rsidRPr="00A66428">
              <w:rPr>
                <w:rFonts w:cs="ScalaSansOT-Regular"/>
                <w:szCs w:val="22"/>
              </w:rPr>
              <w:t>Second Sustainability Outlook (2011)</w:t>
            </w:r>
            <w:r w:rsidRPr="00A66428">
              <w:rPr>
                <w:rStyle w:val="Rimandonotaapidipagina"/>
                <w:rFonts w:cs="ScalaSansOT-Regular"/>
                <w:sz w:val="22"/>
                <w:szCs w:val="22"/>
              </w:rPr>
              <w:footnoteReference w:id="9"/>
            </w:r>
          </w:p>
        </w:tc>
        <w:tc>
          <w:tcPr>
            <w:tcW w:w="0" w:type="auto"/>
          </w:tcPr>
          <w:p w:rsidR="00CA7201" w:rsidRPr="00A66428" w:rsidRDefault="00CA7201" w:rsidP="001234D6">
            <w:pPr>
              <w:pStyle w:val="Nessunaspaziatura"/>
              <w:cnfStyle w:val="000000000000"/>
              <w:rPr>
                <w:rFonts w:cs="Candara"/>
              </w:rPr>
            </w:pPr>
            <w:r w:rsidRPr="00A66428">
              <w:rPr>
                <w:rFonts w:cs="Candara"/>
              </w:rPr>
              <w:t xml:space="preserve">Analysed how </w:t>
            </w:r>
            <w:r w:rsidR="004A61ED" w:rsidRPr="00A66428">
              <w:rPr>
                <w:rFonts w:cs="Candara"/>
              </w:rPr>
              <w:t xml:space="preserve">the </w:t>
            </w:r>
            <w:r w:rsidRPr="00A66428">
              <w:rPr>
                <w:rFonts w:cs="Candara"/>
              </w:rPr>
              <w:t xml:space="preserve">Netherlands can reach out to pursue sustainability in their borders </w:t>
            </w:r>
            <w:r w:rsidR="004A61ED" w:rsidRPr="00A66428">
              <w:rPr>
                <w:rFonts w:cs="Candara"/>
              </w:rPr>
              <w:t xml:space="preserve">by </w:t>
            </w:r>
            <w:r w:rsidR="00731CB1" w:rsidRPr="00A66428">
              <w:rPr>
                <w:rFonts w:cs="Candara"/>
              </w:rPr>
              <w:t>analysing</w:t>
            </w:r>
            <w:r w:rsidRPr="00A66428">
              <w:rPr>
                <w:rFonts w:cs="Candara"/>
              </w:rPr>
              <w:t xml:space="preserve"> current policies. This study also endeavoured to find the most favourable combination of objectives from all the themes (policy fields), resulting in a map of the Netherlands for 2040. The map provides a development perspective that integrates the many different policy goals within a single spatial framework. Finally, the map was analysed and used for suggesting future instruments that need to be introduced in short term and long term in order for the country to reach sustainability targets by 2050.</w:t>
            </w:r>
          </w:p>
          <w:p w:rsidR="00CA7201" w:rsidRPr="00A66428" w:rsidRDefault="00CA7201" w:rsidP="001234D6">
            <w:pPr>
              <w:pStyle w:val="Nessunaspaziatura"/>
              <w:cnfStyle w:val="000000000000"/>
              <w:rPr>
                <w:rFonts w:cs="Candara"/>
              </w:rPr>
            </w:pPr>
            <w:r w:rsidRPr="00A66428">
              <w:rPr>
                <w:rFonts w:cs="Candara"/>
              </w:rPr>
              <w:t>Analysis showed that the pursuit of a sustainable Netherlands requires a more far-reaching integration of current policies. To accommodate the current demand for land, while ensuring that future generations inherit a hig</w:t>
            </w:r>
            <w:r w:rsidR="000011D1" w:rsidRPr="00A66428">
              <w:rPr>
                <w:rFonts w:cs="Candara"/>
              </w:rPr>
              <w:t>h-quality living environment, Netherlands</w:t>
            </w:r>
            <w:r w:rsidRPr="00A66428">
              <w:rPr>
                <w:rFonts w:cs="Candara"/>
              </w:rPr>
              <w:t xml:space="preserve"> need</w:t>
            </w:r>
            <w:r w:rsidR="000011D1" w:rsidRPr="00A66428">
              <w:rPr>
                <w:rFonts w:cs="Candara"/>
              </w:rPr>
              <w:t>s</w:t>
            </w:r>
            <w:r w:rsidRPr="00A66428">
              <w:rPr>
                <w:rFonts w:cs="Candara"/>
              </w:rPr>
              <w:t xml:space="preserve"> a more coherent, long-term vision. The sustainability of the physical environment can be broken down into the following main themes: </w:t>
            </w:r>
            <w:r w:rsidRPr="00A66428">
              <w:rPr>
                <w:rFonts w:cs="ScalaSansOT-Italic"/>
                <w:iCs/>
              </w:rPr>
              <w:t xml:space="preserve">climate change,biodiversity </w:t>
            </w:r>
            <w:r w:rsidRPr="00A66428">
              <w:rPr>
                <w:rFonts w:cs="Candara"/>
              </w:rPr>
              <w:t xml:space="preserve">(diversity of plant and animal life), </w:t>
            </w:r>
            <w:r w:rsidRPr="00A66428">
              <w:rPr>
                <w:rFonts w:cs="ScalaSansOT-Italic"/>
                <w:iCs/>
              </w:rPr>
              <w:t>traffic and transport</w:t>
            </w:r>
            <w:r w:rsidRPr="00A66428">
              <w:rPr>
                <w:rFonts w:cs="Candara"/>
              </w:rPr>
              <w:t xml:space="preserve">, </w:t>
            </w:r>
            <w:r w:rsidRPr="00A66428">
              <w:rPr>
                <w:rFonts w:cs="ScalaSansOT-Italic"/>
                <w:iCs/>
              </w:rPr>
              <w:t>attractive living environments</w:t>
            </w:r>
            <w:r w:rsidRPr="00A66428">
              <w:rPr>
                <w:rFonts w:cs="Candara"/>
              </w:rPr>
              <w:t>, international</w:t>
            </w:r>
            <w:r w:rsidRPr="00A66428">
              <w:rPr>
                <w:rFonts w:cs="ScalaSansOT-Italic"/>
                <w:iCs/>
              </w:rPr>
              <w:t xml:space="preserve"> business location</w:t>
            </w:r>
            <w:r w:rsidRPr="00A66428">
              <w:rPr>
                <w:rFonts w:cs="Candara"/>
              </w:rPr>
              <w:t xml:space="preserve">, </w:t>
            </w:r>
            <w:r w:rsidR="004A61ED" w:rsidRPr="00A66428">
              <w:rPr>
                <w:rFonts w:cs="Candara"/>
              </w:rPr>
              <w:t xml:space="preserve">and </w:t>
            </w:r>
            <w:r w:rsidRPr="00A66428">
              <w:rPr>
                <w:rFonts w:cs="ScalaSansOT-Italic"/>
                <w:iCs/>
              </w:rPr>
              <w:t>cluttering of the landscape</w:t>
            </w:r>
            <w:r w:rsidRPr="00A66428">
              <w:rPr>
                <w:rFonts w:cs="Candara"/>
              </w:rPr>
              <w:t>.</w:t>
            </w:r>
          </w:p>
        </w:tc>
      </w:tr>
      <w:tr w:rsidR="00CA7201" w:rsidRPr="00A66428" w:rsidTr="005C6381">
        <w:trPr>
          <w:cantSplit/>
        </w:trPr>
        <w:tc>
          <w:tcPr>
            <w:cnfStyle w:val="001000000000"/>
            <w:tcW w:w="0" w:type="auto"/>
          </w:tcPr>
          <w:p w:rsidR="00CA7201" w:rsidRPr="00A66428" w:rsidRDefault="00CA7201" w:rsidP="001234D6">
            <w:pPr>
              <w:pStyle w:val="Nessunaspaziatura"/>
            </w:pPr>
            <w:r w:rsidRPr="00A66428">
              <w:lastRenderedPageBreak/>
              <w:t xml:space="preserve">Innovation Contracts 2012 </w:t>
            </w:r>
            <w:r w:rsidRPr="00A66428">
              <w:rPr>
                <w:rStyle w:val="Rimandonotaapidipagina"/>
                <w:b w:val="0"/>
                <w:sz w:val="22"/>
                <w:szCs w:val="22"/>
              </w:rPr>
              <w:footnoteReference w:id="10"/>
            </w:r>
          </w:p>
          <w:p w:rsidR="00CA7201" w:rsidRPr="00A66428" w:rsidRDefault="00CA7201" w:rsidP="001234D6">
            <w:pPr>
              <w:pStyle w:val="Nessunaspaziatura"/>
              <w:rPr>
                <w:rFonts w:cs="ScalaSansOT-Regular"/>
                <w:szCs w:val="22"/>
              </w:rPr>
            </w:pPr>
          </w:p>
        </w:tc>
        <w:tc>
          <w:tcPr>
            <w:tcW w:w="0" w:type="auto"/>
          </w:tcPr>
          <w:p w:rsidR="00CA7201" w:rsidRPr="00A66428" w:rsidRDefault="00CA7201" w:rsidP="001234D6">
            <w:pPr>
              <w:pStyle w:val="Nessunaspaziatura"/>
              <w:cnfStyle w:val="000000000000"/>
            </w:pPr>
            <w:r w:rsidRPr="00A66428">
              <w:t>Companies, research institutes, universities and the government collaboratively drafted several contracts intended to stimulate innovation and improve the competitiveness of the Netherlands economy. These contracts, referred to as ‘innovation contracts’, were signed in April 2012.</w:t>
            </w:r>
          </w:p>
          <w:p w:rsidR="00CA7201" w:rsidRPr="00A66428" w:rsidRDefault="00CA7201" w:rsidP="001234D6">
            <w:pPr>
              <w:pStyle w:val="Nessunaspaziatura"/>
              <w:cnfStyle w:val="000000000000"/>
            </w:pPr>
            <w:r w:rsidRPr="00A66428">
              <w:t>In these contracts, measures, plans, deals and targets are described and agreed upon and cover fundamental or applied research. Through innovation, the contracts aim to add value to</w:t>
            </w:r>
            <w:r w:rsidR="004713F8" w:rsidRPr="00A66428">
              <w:t xml:space="preserve"> the</w:t>
            </w:r>
            <w:r w:rsidRPr="00A66428">
              <w:t xml:space="preserve"> Netherlands' future economy by improving its competitiveness.</w:t>
            </w:r>
          </w:p>
          <w:p w:rsidR="00CA7201" w:rsidRPr="00A66428" w:rsidRDefault="00CA7201" w:rsidP="001234D6">
            <w:pPr>
              <w:pStyle w:val="Nessunaspaziatura"/>
              <w:cnfStyle w:val="000000000000"/>
            </w:pPr>
            <w:r w:rsidRPr="00A66428">
              <w:rPr>
                <w:rFonts w:eastAsia="Times New Roman" w:cs="Times New Roman"/>
                <w:lang w:eastAsia="en-GB"/>
              </w:rPr>
              <w:t>Starting in 2013, the government co-funds innovation and research by TKIs and invests € 0</w:t>
            </w:r>
            <w:r w:rsidR="00A91909" w:rsidRPr="00A66428">
              <w:rPr>
                <w:rFonts w:eastAsia="Times New Roman" w:cs="Times New Roman"/>
                <w:lang w:eastAsia="en-GB"/>
              </w:rPr>
              <w:t>.</w:t>
            </w:r>
            <w:r w:rsidRPr="00A66428">
              <w:rPr>
                <w:rFonts w:eastAsia="Times New Roman" w:cs="Times New Roman"/>
                <w:lang w:eastAsia="en-GB"/>
              </w:rPr>
              <w:t>25 for every euro invested in the TKI by a company. The nine top sectors that have contracts are: chemicals, horticulture and its raw materials, water, agro-food, life sciences, high-tech systems and materials, energy, logistics and the creative industry</w:t>
            </w:r>
            <w:r w:rsidR="000011D1" w:rsidRPr="00A66428">
              <w:rPr>
                <w:rFonts w:eastAsia="Times New Roman" w:cs="Times New Roman"/>
                <w:lang w:eastAsia="en-GB"/>
              </w:rPr>
              <w:t>.</w:t>
            </w:r>
          </w:p>
        </w:tc>
      </w:tr>
      <w:tr w:rsidR="00CA7201" w:rsidRPr="00A66428" w:rsidTr="005C6381">
        <w:trPr>
          <w:cantSplit/>
        </w:trPr>
        <w:tc>
          <w:tcPr>
            <w:cnfStyle w:val="001000000000"/>
            <w:tcW w:w="0" w:type="auto"/>
          </w:tcPr>
          <w:p w:rsidR="00CA7201" w:rsidRPr="00A66428" w:rsidRDefault="00CA7201" w:rsidP="001234D6">
            <w:pPr>
              <w:pStyle w:val="Nessunaspaziatura"/>
              <w:rPr>
                <w:rFonts w:cs="TTE1BEBDE8t00"/>
                <w:lang w:val="nl-NL"/>
              </w:rPr>
            </w:pPr>
            <w:r w:rsidRPr="00A66428">
              <w:rPr>
                <w:lang w:val="nl-NL"/>
              </w:rPr>
              <w:t>Energieakkoord voor duurzame groei - National Energy agreement 2013</w:t>
            </w:r>
            <w:r w:rsidRPr="00A66428">
              <w:rPr>
                <w:rStyle w:val="Rimandonotaapidipagina"/>
              </w:rPr>
              <w:footnoteReference w:id="11"/>
            </w:r>
          </w:p>
        </w:tc>
        <w:tc>
          <w:tcPr>
            <w:tcW w:w="0" w:type="auto"/>
          </w:tcPr>
          <w:p w:rsidR="000011D1" w:rsidRPr="00A66428" w:rsidRDefault="000011D1" w:rsidP="001234D6">
            <w:pPr>
              <w:pStyle w:val="Nessunaspaziatura"/>
              <w:cnfStyle w:val="000000000000"/>
            </w:pPr>
            <w:r w:rsidRPr="00A66428">
              <w:t>The agreement includes among others:</w:t>
            </w:r>
          </w:p>
          <w:p w:rsidR="00CA7201" w:rsidRPr="00A66428" w:rsidRDefault="00CA7201" w:rsidP="001234D6">
            <w:pPr>
              <w:pStyle w:val="Nessunaspaziatura"/>
              <w:cnfStyle w:val="000000000000"/>
              <w:rPr>
                <w:rFonts w:eastAsia="Times New Roman" w:cs="Times New Roman"/>
                <w:lang w:eastAsia="en-GB"/>
              </w:rPr>
            </w:pPr>
            <w:r w:rsidRPr="00A66428">
              <w:t>A reduction in total energy consumption by an average of 1.5% per year; An increase in the share of renewable energy (4%</w:t>
            </w:r>
            <w:r w:rsidR="000011D1" w:rsidRPr="00A66428">
              <w:t xml:space="preserve"> in 2013</w:t>
            </w:r>
            <w:r w:rsidRPr="00A66428">
              <w:t xml:space="preserve">) to 14% in 2020; A further increase of this share to 16% in 2023; At least 15,000 full-time jobs, largely to </w:t>
            </w:r>
            <w:r w:rsidR="005D0E0E" w:rsidRPr="00A66428">
              <w:t xml:space="preserve">be </w:t>
            </w:r>
            <w:r w:rsidRPr="00A66428">
              <w:t>create</w:t>
            </w:r>
            <w:r w:rsidR="005D0E0E" w:rsidRPr="00A66428">
              <w:t>d</w:t>
            </w:r>
            <w:r w:rsidRPr="00A66428">
              <w:t xml:space="preserve"> within the next few years</w:t>
            </w:r>
            <w:r w:rsidR="000011D1" w:rsidRPr="00A66428">
              <w:t xml:space="preserve">; </w:t>
            </w:r>
            <w:r w:rsidRPr="00A66428">
              <w:rPr>
                <w:rFonts w:eastAsia="Times New Roman" w:cs="Times New Roman"/>
                <w:lang w:eastAsia="en-GB"/>
              </w:rPr>
              <w:t>A</w:t>
            </w:r>
            <w:r w:rsidR="000011D1" w:rsidRPr="00A66428">
              <w:rPr>
                <w:rFonts w:eastAsia="Times New Roman" w:cs="Times New Roman"/>
                <w:lang w:eastAsia="en-GB"/>
              </w:rPr>
              <w:t>n</w:t>
            </w:r>
            <w:r w:rsidRPr="00A66428">
              <w:rPr>
                <w:rFonts w:eastAsia="Times New Roman" w:cs="Times New Roman"/>
                <w:lang w:eastAsia="en-GB"/>
              </w:rPr>
              <w:t xml:space="preserve"> upper limit to the</w:t>
            </w:r>
            <w:r w:rsidR="000011D1" w:rsidRPr="00A66428">
              <w:rPr>
                <w:rFonts w:eastAsia="Times New Roman" w:cs="Times New Roman"/>
                <w:lang w:eastAsia="en-GB"/>
              </w:rPr>
              <w:t xml:space="preserve"> use of biomass in power plants;</w:t>
            </w:r>
            <w:r w:rsidRPr="00A66428">
              <w:rPr>
                <w:rFonts w:eastAsia="Times New Roman" w:cs="Times New Roman"/>
                <w:lang w:eastAsia="en-GB"/>
              </w:rPr>
              <w:t xml:space="preserve"> A lobby in Brussels for t</w:t>
            </w:r>
            <w:r w:rsidR="000011D1" w:rsidRPr="00A66428">
              <w:rPr>
                <w:rFonts w:eastAsia="Times New Roman" w:cs="Times New Roman"/>
                <w:lang w:eastAsia="en-GB"/>
              </w:rPr>
              <w:t xml:space="preserve">he revival of the ETS from 2020; </w:t>
            </w:r>
            <w:r w:rsidRPr="00A66428">
              <w:rPr>
                <w:rFonts w:eastAsia="Times New Roman" w:cs="Times New Roman"/>
                <w:lang w:eastAsia="en-GB"/>
              </w:rPr>
              <w:t>The closure of five coal-powered energy plants</w:t>
            </w:r>
            <w:r w:rsidR="000011D1" w:rsidRPr="00A66428">
              <w:rPr>
                <w:rFonts w:eastAsia="Times New Roman" w:cs="Times New Roman"/>
                <w:lang w:eastAsia="en-GB"/>
              </w:rPr>
              <w:t>; And a</w:t>
            </w:r>
            <w:r w:rsidRPr="00A66428">
              <w:rPr>
                <w:rFonts w:eastAsia="Times New Roman" w:cs="Times New Roman"/>
                <w:lang w:eastAsia="en-GB"/>
              </w:rPr>
              <w:t xml:space="preserve"> 17 % reduction of carbon in the transport sector, although </w:t>
            </w:r>
            <w:r w:rsidR="000011D1" w:rsidRPr="00A66428">
              <w:rPr>
                <w:rFonts w:eastAsia="Times New Roman" w:cs="Times New Roman"/>
                <w:lang w:eastAsia="en-GB"/>
              </w:rPr>
              <w:t>final plans remain to be develo</w:t>
            </w:r>
            <w:r w:rsidRPr="00A66428">
              <w:rPr>
                <w:rFonts w:eastAsia="Times New Roman" w:cs="Times New Roman"/>
                <w:lang w:eastAsia="en-GB"/>
              </w:rPr>
              <w:t>ped.</w:t>
            </w:r>
          </w:p>
        </w:tc>
      </w:tr>
      <w:tr w:rsidR="00CA7201" w:rsidRPr="00A66428" w:rsidTr="005C6381">
        <w:trPr>
          <w:cantSplit/>
        </w:trPr>
        <w:tc>
          <w:tcPr>
            <w:cnfStyle w:val="001000000000"/>
            <w:tcW w:w="0" w:type="auto"/>
          </w:tcPr>
          <w:p w:rsidR="00CA7201" w:rsidRPr="00A66428" w:rsidRDefault="005E0DFD" w:rsidP="001234D6">
            <w:pPr>
              <w:pStyle w:val="Nessunaspaziatura"/>
            </w:pPr>
            <w:r w:rsidRPr="00A66428">
              <w:t xml:space="preserve">Climate Agenda: </w:t>
            </w:r>
            <w:r w:rsidR="002C63D9" w:rsidRPr="00A66428">
              <w:t>R</w:t>
            </w:r>
            <w:r w:rsidRPr="00A66428">
              <w:t>esilient, prosperous and green</w:t>
            </w:r>
            <w:r w:rsidRPr="00A66428">
              <w:rPr>
                <w:rStyle w:val="Rimandonotaapidipagina"/>
              </w:rPr>
              <w:footnoteReference w:id="12"/>
            </w:r>
            <w:r w:rsidRPr="00A66428">
              <w:t xml:space="preserve"> - 2013</w:t>
            </w:r>
          </w:p>
        </w:tc>
        <w:tc>
          <w:tcPr>
            <w:tcW w:w="0" w:type="auto"/>
          </w:tcPr>
          <w:p w:rsidR="00CA7201" w:rsidRPr="00A66428" w:rsidRDefault="00862D6C" w:rsidP="001234D6">
            <w:pPr>
              <w:pStyle w:val="Nessunaspaziatura"/>
              <w:cnfStyle w:val="000000000000"/>
            </w:pPr>
            <w:r w:rsidRPr="00A66428">
              <w:t>The Climate Agenda outlines an approach focused on assembling a broadly-based coalition for climate measures and on a combined approach to climate adaptation (by designing a resilient physical environment and preparing society for the consequences of climate change) and mitigation (by reducing greenhouse gas emissions). It incorporates concrete goals and ambitions for 2030 and explores and paves the way for the next steps towards 2030 and 2050.</w:t>
            </w:r>
          </w:p>
        </w:tc>
      </w:tr>
      <w:tr w:rsidR="00CA7201" w:rsidRPr="00A66428" w:rsidTr="005C6381">
        <w:trPr>
          <w:cantSplit/>
        </w:trPr>
        <w:tc>
          <w:tcPr>
            <w:cnfStyle w:val="001000000000"/>
            <w:tcW w:w="0" w:type="auto"/>
          </w:tcPr>
          <w:p w:rsidR="00CA7201" w:rsidRPr="00A66428" w:rsidRDefault="00CA7201" w:rsidP="001234D6">
            <w:pPr>
              <w:pStyle w:val="Nessunaspaziatura"/>
              <w:rPr>
                <w:szCs w:val="22"/>
              </w:rPr>
            </w:pPr>
            <w:r w:rsidRPr="00A66428">
              <w:rPr>
                <w:szCs w:val="22"/>
              </w:rPr>
              <w:t xml:space="preserve">Local Climate Agenda 2011-2014 </w:t>
            </w:r>
          </w:p>
          <w:p w:rsidR="00CA7201" w:rsidRPr="00A66428" w:rsidRDefault="00CA7201" w:rsidP="001234D6">
            <w:pPr>
              <w:pStyle w:val="Nessunaspaziatura"/>
            </w:pPr>
          </w:p>
        </w:tc>
        <w:tc>
          <w:tcPr>
            <w:tcW w:w="0" w:type="auto"/>
          </w:tcPr>
          <w:p w:rsidR="00CA7201" w:rsidRPr="00A66428" w:rsidRDefault="00CA7201" w:rsidP="001234D6">
            <w:pPr>
              <w:pStyle w:val="Nessunaspaziatura"/>
              <w:cnfStyle w:val="000000000000"/>
              <w:rPr>
                <w:szCs w:val="22"/>
              </w:rPr>
            </w:pPr>
            <w:r w:rsidRPr="00A66428">
              <w:rPr>
                <w:szCs w:val="22"/>
              </w:rPr>
              <w:t>This instrument aims to facilitate knowledge and information exchange between the central government and local authorities in order to increase local community participation in the field of climate and sustainability. Most local authorities implement their own policies and instruments to achieve the CO</w:t>
            </w:r>
            <w:r w:rsidRPr="00A66428">
              <w:rPr>
                <w:szCs w:val="22"/>
                <w:vertAlign w:val="subscript"/>
              </w:rPr>
              <w:t>2</w:t>
            </w:r>
            <w:r w:rsidRPr="00A66428">
              <w:rPr>
                <w:szCs w:val="22"/>
              </w:rPr>
              <w:t xml:space="preserve"> reduction target. </w:t>
            </w:r>
          </w:p>
        </w:tc>
      </w:tr>
    </w:tbl>
    <w:p w:rsidR="00AD5B52" w:rsidRPr="00A66428" w:rsidRDefault="00AD5B52" w:rsidP="00AD5B52">
      <w:pPr>
        <w:rPr>
          <w:rFonts w:eastAsiaTheme="majorEastAsia"/>
        </w:rPr>
      </w:pPr>
    </w:p>
    <w:p w:rsidR="00AD5B52" w:rsidRPr="00A66428" w:rsidRDefault="00AD5B52" w:rsidP="00AD5B52">
      <w:pPr>
        <w:rPr>
          <w:rFonts w:eastAsiaTheme="majorEastAsia"/>
        </w:rPr>
      </w:pPr>
    </w:p>
    <w:p w:rsidR="00AD5B52" w:rsidRPr="00A66428" w:rsidRDefault="00AD5B52" w:rsidP="00AD5B52">
      <w:pPr>
        <w:rPr>
          <w:rFonts w:eastAsiaTheme="majorEastAsia"/>
        </w:rPr>
      </w:pPr>
    </w:p>
    <w:p w:rsidR="00AD5B52" w:rsidRPr="00A66428" w:rsidRDefault="00AD5B52" w:rsidP="00AD5B52">
      <w:pPr>
        <w:rPr>
          <w:rFonts w:eastAsiaTheme="majorEastAsia"/>
        </w:rPr>
      </w:pPr>
    </w:p>
    <w:p w:rsidR="00AD5B52" w:rsidRPr="00A66428" w:rsidRDefault="00AD5B52" w:rsidP="00AD5B52">
      <w:pPr>
        <w:rPr>
          <w:rFonts w:eastAsiaTheme="majorEastAsia"/>
        </w:rPr>
      </w:pPr>
    </w:p>
    <w:p w:rsidR="0089747C" w:rsidRPr="00A66428" w:rsidRDefault="00962C43" w:rsidP="005C6381">
      <w:pPr>
        <w:pStyle w:val="Titolo1"/>
        <w:rPr>
          <w:rFonts w:eastAsiaTheme="majorEastAsia"/>
        </w:rPr>
      </w:pPr>
      <w:r w:rsidRPr="00A66428">
        <w:rPr>
          <w:rFonts w:eastAsiaTheme="majorEastAsia"/>
        </w:rPr>
        <w:lastRenderedPageBreak/>
        <w:t>Bioenergy</w:t>
      </w:r>
    </w:p>
    <w:tbl>
      <w:tblPr>
        <w:tblStyle w:val="Sfondomedio1-Colore2"/>
        <w:tblpPr w:leftFromText="181" w:rightFromText="181" w:vertAnchor="text" w:horzAnchor="margin" w:tblpY="1"/>
        <w:tblW w:w="0" w:type="auto"/>
        <w:tblLook w:val="06A0"/>
      </w:tblPr>
      <w:tblGrid>
        <w:gridCol w:w="2909"/>
        <w:gridCol w:w="3741"/>
        <w:gridCol w:w="3801"/>
        <w:gridCol w:w="3723"/>
      </w:tblGrid>
      <w:tr w:rsidR="00A66292" w:rsidRPr="00A66428" w:rsidTr="0050093A">
        <w:trPr>
          <w:cnfStyle w:val="100000000000"/>
          <w:cantSplit/>
        </w:trPr>
        <w:tc>
          <w:tcPr>
            <w:cnfStyle w:val="001000000000"/>
            <w:tcW w:w="0" w:type="auto"/>
          </w:tcPr>
          <w:p w:rsidR="0089747C" w:rsidRPr="00A66428" w:rsidRDefault="0089747C" w:rsidP="0050093A">
            <w:pPr>
              <w:pStyle w:val="Nessunaspaziatura"/>
            </w:pPr>
            <w:r w:rsidRPr="00A66428">
              <w:t xml:space="preserve">Policy </w:t>
            </w:r>
          </w:p>
        </w:tc>
        <w:tc>
          <w:tcPr>
            <w:tcW w:w="0" w:type="auto"/>
          </w:tcPr>
          <w:p w:rsidR="0089747C" w:rsidRPr="00A66428" w:rsidRDefault="0089747C" w:rsidP="0050093A">
            <w:pPr>
              <w:pStyle w:val="Nessunaspaziatura"/>
              <w:cnfStyle w:val="100000000000"/>
            </w:pPr>
            <w:r w:rsidRPr="00A66428">
              <w:t>Ambitions</w:t>
            </w:r>
          </w:p>
        </w:tc>
        <w:tc>
          <w:tcPr>
            <w:tcW w:w="0" w:type="auto"/>
          </w:tcPr>
          <w:p w:rsidR="0089747C" w:rsidRPr="00A66428" w:rsidRDefault="0089747C" w:rsidP="0050093A">
            <w:pPr>
              <w:pStyle w:val="Nessunaspaziatura"/>
              <w:cnfStyle w:val="100000000000"/>
            </w:pPr>
            <w:r w:rsidRPr="00A66428">
              <w:t>Policy Measures</w:t>
            </w:r>
          </w:p>
        </w:tc>
        <w:tc>
          <w:tcPr>
            <w:tcW w:w="0" w:type="auto"/>
          </w:tcPr>
          <w:p w:rsidR="0089747C" w:rsidRPr="00A66428" w:rsidRDefault="0089747C" w:rsidP="0050093A">
            <w:pPr>
              <w:pStyle w:val="Nessunaspaziatura"/>
              <w:cnfStyle w:val="100000000000"/>
            </w:pPr>
            <w:r w:rsidRPr="00A66428">
              <w:t>Financial Incentives</w:t>
            </w:r>
          </w:p>
        </w:tc>
      </w:tr>
      <w:tr w:rsidR="00A66292" w:rsidRPr="00A66428" w:rsidTr="0050093A">
        <w:trPr>
          <w:cantSplit/>
          <w:trHeight w:val="416"/>
        </w:trPr>
        <w:tc>
          <w:tcPr>
            <w:cnfStyle w:val="001000000000"/>
            <w:tcW w:w="0" w:type="auto"/>
          </w:tcPr>
          <w:p w:rsidR="00EB50DD" w:rsidRPr="00A66428" w:rsidRDefault="00EB50DD" w:rsidP="001234D6">
            <w:pPr>
              <w:pStyle w:val="Nessunaspaziatura"/>
            </w:pPr>
            <w:r w:rsidRPr="00A66428">
              <w:t>Environmental investment allowance (MIA)</w:t>
            </w:r>
            <w:r w:rsidRPr="00A66428">
              <w:rPr>
                <w:rStyle w:val="Rimandonotaapidipagina"/>
              </w:rPr>
              <w:footnoteReference w:id="13"/>
            </w:r>
            <w:r w:rsidR="006350D6" w:rsidRPr="00A66428">
              <w:t xml:space="preserve">, </w:t>
            </w:r>
            <w:r w:rsidR="006350D6" w:rsidRPr="00A66428">
              <w:rPr>
                <w:rStyle w:val="Rimandonotaapidipagina"/>
              </w:rPr>
              <w:footnoteReference w:id="14"/>
            </w:r>
            <w:r w:rsidRPr="00A66428">
              <w:t xml:space="preserve"> 1991</w:t>
            </w:r>
          </w:p>
        </w:tc>
        <w:tc>
          <w:tcPr>
            <w:tcW w:w="0" w:type="auto"/>
          </w:tcPr>
          <w:p w:rsidR="00EB50DD" w:rsidRPr="00A66428" w:rsidRDefault="00977328" w:rsidP="00C67F48">
            <w:pPr>
              <w:pStyle w:val="Nessunaspaziatura"/>
              <w:cnfStyle w:val="000000000000"/>
            </w:pPr>
            <w:r w:rsidRPr="00A66428">
              <w:t>Support environmental friendly investments</w:t>
            </w:r>
            <w:r w:rsidR="002E7CC9" w:rsidRPr="00A66428">
              <w:t>. Entrepreneurs can with support from MIA\Vamil invest in biorefinery, biochemistry, an</w:t>
            </w:r>
            <w:r w:rsidR="00C67F48" w:rsidRPr="00A66428">
              <w:t>d cultivation of natural fibers likealgae and duckweed.</w:t>
            </w:r>
          </w:p>
        </w:tc>
        <w:tc>
          <w:tcPr>
            <w:tcW w:w="0" w:type="auto"/>
          </w:tcPr>
          <w:p w:rsidR="00EB50DD" w:rsidRPr="00A66428" w:rsidRDefault="00EB50DD" w:rsidP="0050093A">
            <w:pPr>
              <w:pStyle w:val="Nessunaspaziatura"/>
              <w:cnfStyle w:val="000000000000"/>
            </w:pPr>
            <w:r w:rsidRPr="00A66428">
              <w:t>C</w:t>
            </w:r>
            <w:r w:rsidR="000F4BE7" w:rsidRPr="00A66428">
              <w:t>onditions are:</w:t>
            </w:r>
            <w:r w:rsidRPr="00A66428">
              <w:t xml:space="preserve"> 1) the business asset must be on the Environmental List (</w:t>
            </w:r>
            <w:r w:rsidRPr="00A66428">
              <w:rPr>
                <w:rStyle w:val="Enfasicorsivo"/>
                <w:b w:val="0"/>
              </w:rPr>
              <w:t>Milieulijst</w:t>
            </w:r>
            <w:r w:rsidRPr="00A66428">
              <w:t>) drawn up each year by the Ministry of Infrastructure and the Environment, and 2) there must be an co-finance of at least 450 EUR per calendar year.</w:t>
            </w:r>
          </w:p>
          <w:p w:rsidR="000A5870" w:rsidRPr="00A66428" w:rsidRDefault="002E7CC9" w:rsidP="00983CD7">
            <w:pPr>
              <w:pStyle w:val="Nessunaspaziatura"/>
              <w:cnfStyle w:val="000000000000"/>
            </w:pPr>
            <w:r w:rsidRPr="00A66428">
              <w:t>Algae</w:t>
            </w:r>
            <w:r w:rsidR="007D357B" w:rsidRPr="00A66428">
              <w:t xml:space="preserve">cultivation and </w:t>
            </w:r>
            <w:r w:rsidR="006350D6" w:rsidRPr="00A66428">
              <w:t>biorefining</w:t>
            </w:r>
            <w:r w:rsidR="00983CD7" w:rsidRPr="00A66428">
              <w:t xml:space="preserve"> are</w:t>
            </w:r>
            <w:r w:rsidR="001559E0" w:rsidRPr="00A66428">
              <w:t xml:space="preserve">included in </w:t>
            </w:r>
            <w:hyperlink r:id="rId13" w:history="1">
              <w:r w:rsidR="001559E0" w:rsidRPr="00A66428">
                <w:rPr>
                  <w:rStyle w:val="Collegamentoipertestuale"/>
                </w:rPr>
                <w:t>Environmental List 2014</w:t>
              </w:r>
            </w:hyperlink>
            <w:r w:rsidR="001559E0" w:rsidRPr="00A66428">
              <w:t>.</w:t>
            </w:r>
          </w:p>
        </w:tc>
        <w:tc>
          <w:tcPr>
            <w:tcW w:w="0" w:type="auto"/>
          </w:tcPr>
          <w:p w:rsidR="00EB50DD" w:rsidRPr="00A66428" w:rsidRDefault="00EB50DD" w:rsidP="00A12F38">
            <w:pPr>
              <w:pStyle w:val="Nessunaspaziatura"/>
              <w:cnfStyle w:val="000000000000"/>
            </w:pPr>
            <w:r w:rsidRPr="00A66428">
              <w:t xml:space="preserve">Offers a tax refund on environmental investment whereby up to 36 % of total investment costs can be deducted from the taxable profit. For 2013, the sum of </w:t>
            </w:r>
            <w:r w:rsidR="00A12F38" w:rsidRPr="00A66428">
              <w:t>€</w:t>
            </w:r>
            <w:r w:rsidRPr="00A66428">
              <w:t>101</w:t>
            </w:r>
            <w:r w:rsidR="00A12F38" w:rsidRPr="00A66428">
              <w:t>m</w:t>
            </w:r>
            <w:r w:rsidRPr="00A66428">
              <w:t xml:space="preserve"> is available. </w:t>
            </w:r>
          </w:p>
        </w:tc>
      </w:tr>
      <w:tr w:rsidR="00A66292" w:rsidRPr="00A66428" w:rsidTr="0050093A">
        <w:trPr>
          <w:cantSplit/>
          <w:trHeight w:val="416"/>
        </w:trPr>
        <w:tc>
          <w:tcPr>
            <w:cnfStyle w:val="001000000000"/>
            <w:tcW w:w="0" w:type="auto"/>
          </w:tcPr>
          <w:p w:rsidR="00EB50DD" w:rsidRPr="00A66428" w:rsidRDefault="00EB50DD" w:rsidP="00EB50DD">
            <w:pPr>
              <w:pStyle w:val="Nessunaspaziatura"/>
            </w:pPr>
            <w:r w:rsidRPr="00A66428">
              <w:t xml:space="preserve">Energy Investment Allowance - Energieinvesteringsaftrek (EIA) </w:t>
            </w:r>
            <w:r w:rsidRPr="00A66428">
              <w:rPr>
                <w:rStyle w:val="Rimandonotaapidipagina"/>
              </w:rPr>
              <w:footnoteReference w:id="15"/>
            </w:r>
            <w:r w:rsidRPr="00A66428">
              <w:rPr>
                <w:vertAlign w:val="superscript"/>
              </w:rPr>
              <w:t xml:space="preserve"> -</w:t>
            </w:r>
          </w:p>
          <w:p w:rsidR="00EB50DD" w:rsidRPr="00A66428" w:rsidRDefault="00EB50DD" w:rsidP="00EB50DD">
            <w:pPr>
              <w:pStyle w:val="Nessunaspaziatura"/>
            </w:pPr>
            <w:r w:rsidRPr="00A66428">
              <w:t>1997</w:t>
            </w:r>
          </w:p>
        </w:tc>
        <w:tc>
          <w:tcPr>
            <w:tcW w:w="0" w:type="auto"/>
          </w:tcPr>
          <w:p w:rsidR="00EB50DD" w:rsidRPr="00A66428" w:rsidRDefault="00EB50DD" w:rsidP="00EB50DD">
            <w:pPr>
              <w:pStyle w:val="Nessunaspaziatura"/>
              <w:cnfStyle w:val="000000000000"/>
            </w:pPr>
            <w:r w:rsidRPr="00A66428">
              <w:t>Stimulate energy efficiency</w:t>
            </w:r>
          </w:p>
        </w:tc>
        <w:tc>
          <w:tcPr>
            <w:tcW w:w="0" w:type="auto"/>
          </w:tcPr>
          <w:p w:rsidR="00EB50DD" w:rsidRPr="00A66428" w:rsidRDefault="00EB50DD" w:rsidP="00EB50DD">
            <w:pPr>
              <w:pStyle w:val="Nessunaspaziatura"/>
              <w:cnfStyle w:val="000000000000"/>
            </w:pPr>
            <w:r w:rsidRPr="00A66428">
              <w:t xml:space="preserve">Provides a fiscal incentive to stimulate energy efficient systems and sustainable technologies which result in a lower energy use. </w:t>
            </w:r>
          </w:p>
        </w:tc>
        <w:tc>
          <w:tcPr>
            <w:tcW w:w="0" w:type="auto"/>
          </w:tcPr>
          <w:p w:rsidR="00EB50DD" w:rsidRPr="00A66428" w:rsidRDefault="00EB50DD" w:rsidP="00EB50DD">
            <w:pPr>
              <w:pStyle w:val="Nessunaspaziatura"/>
              <w:cnfStyle w:val="000000000000"/>
            </w:pPr>
            <w:r w:rsidRPr="00A66428">
              <w:t xml:space="preserve">The amount of tax credit may be up to 44% of the total investments made in renewable energy or energy efficiency technologies within one year. The level of funding depends on the source of energy and type of technology. </w:t>
            </w:r>
          </w:p>
          <w:p w:rsidR="00EB50DD" w:rsidRPr="00A66428" w:rsidRDefault="00EB50DD" w:rsidP="00A12F38">
            <w:pPr>
              <w:pStyle w:val="Nessunaspaziatura"/>
              <w:cnfStyle w:val="000000000000"/>
            </w:pPr>
            <w:r w:rsidRPr="00A66428">
              <w:t>At least €2</w:t>
            </w:r>
            <w:r w:rsidR="00A12F38" w:rsidRPr="00A66428">
              <w:t>,</w:t>
            </w:r>
            <w:r w:rsidRPr="00A66428">
              <w:t>300 and no more than €113</w:t>
            </w:r>
            <w:r w:rsidR="00A12F38" w:rsidRPr="00A66428">
              <w:t>m</w:t>
            </w:r>
            <w:r w:rsidRPr="00A66428">
              <w:t xml:space="preserve"> must be invested within one year. Investments of less than €450 are not considered.  </w:t>
            </w:r>
          </w:p>
        </w:tc>
      </w:tr>
      <w:tr w:rsidR="00A66292" w:rsidRPr="00A66428" w:rsidTr="0050093A">
        <w:trPr>
          <w:cantSplit/>
          <w:trHeight w:val="416"/>
        </w:trPr>
        <w:tc>
          <w:tcPr>
            <w:cnfStyle w:val="001000000000"/>
            <w:tcW w:w="0" w:type="auto"/>
          </w:tcPr>
          <w:p w:rsidR="00EB50DD" w:rsidRPr="00A66428" w:rsidRDefault="00EB50DD" w:rsidP="00643652">
            <w:pPr>
              <w:pStyle w:val="Nessunaspaziatura"/>
            </w:pPr>
            <w:r w:rsidRPr="00A66428">
              <w:t>Sustainable Energy Incentive Plus Scheme - Stimuleringsregeling Duurzame Energieproductie (SDE+)</w:t>
            </w:r>
            <w:r w:rsidRPr="00A66428">
              <w:rPr>
                <w:vertAlign w:val="superscript"/>
              </w:rPr>
              <w:footnoteReference w:id="16"/>
            </w:r>
            <w:r w:rsidR="0015594C" w:rsidRPr="00A66428">
              <w:rPr>
                <w:vertAlign w:val="superscript"/>
              </w:rPr>
              <w:footnoteReference w:id="17"/>
            </w:r>
            <w:r w:rsidR="0015594C" w:rsidRPr="00A66428">
              <w:rPr>
                <w:vertAlign w:val="superscript"/>
              </w:rPr>
              <w:t xml:space="preserve">. </w:t>
            </w:r>
            <w:r w:rsidRPr="00A66428">
              <w:t xml:space="preserve"> - 2011</w:t>
            </w:r>
          </w:p>
        </w:tc>
        <w:tc>
          <w:tcPr>
            <w:tcW w:w="0" w:type="auto"/>
          </w:tcPr>
          <w:p w:rsidR="00EB50DD" w:rsidRPr="00A66428" w:rsidRDefault="00B75BDE" w:rsidP="00643652">
            <w:pPr>
              <w:pStyle w:val="Nessunaspaziatura"/>
              <w:cnfStyle w:val="000000000000"/>
            </w:pPr>
            <w:r w:rsidRPr="00A66428">
              <w:t xml:space="preserve">This scheme </w:t>
            </w:r>
            <w:r w:rsidR="00EB50DD" w:rsidRPr="00A66428">
              <w:t>stimulates the production of cost-effective renewable energy installations.</w:t>
            </w:r>
          </w:p>
        </w:tc>
        <w:tc>
          <w:tcPr>
            <w:tcW w:w="0" w:type="auto"/>
          </w:tcPr>
          <w:p w:rsidR="00643652" w:rsidRPr="00A66428" w:rsidRDefault="00643652" w:rsidP="00EB50DD">
            <w:pPr>
              <w:pStyle w:val="Nessunaspaziatura"/>
              <w:cnfStyle w:val="000000000000"/>
            </w:pPr>
            <w:r w:rsidRPr="00A66428">
              <w:t>Provides a fiscal incentive for</w:t>
            </w:r>
            <w:r w:rsidR="00EB50DD" w:rsidRPr="00A66428">
              <w:t xml:space="preserve"> companies to fill the gap between the cost level of comparable fossil based energy and the cost level of the renewable energy for a period up to 15 years. It is designating a guaranteed price for electricity and heat from biomass, geothermal, solar, wind, and hydro. </w:t>
            </w:r>
          </w:p>
          <w:p w:rsidR="00EB50DD" w:rsidRPr="00A66428" w:rsidRDefault="00EB50DD" w:rsidP="00EB50DD">
            <w:pPr>
              <w:pStyle w:val="Nessunaspaziatura"/>
              <w:cnfStyle w:val="000000000000"/>
            </w:pPr>
            <w:r w:rsidRPr="00A66428">
              <w:t xml:space="preserve">For Tariffs for bioenergy are in the case of energy coming from </w:t>
            </w:r>
            <w:r w:rsidR="00643652" w:rsidRPr="00A66428">
              <w:rPr>
                <w:rStyle w:val="notranslate"/>
              </w:rPr>
              <w:t>AD</w:t>
            </w:r>
            <w:r w:rsidRPr="00A66428">
              <w:rPr>
                <w:rStyle w:val="notranslate"/>
              </w:rPr>
              <w:t>, thermal conversion, waste and sewage treatment, and for heat from existing waste incineration and existing digesters</w:t>
            </w:r>
            <w:r w:rsidRPr="00A66428">
              <w:t xml:space="preserve">. Support is available through a tendering scheme only, and the ‘least expensive’ forms of technology may apply earlier. </w:t>
            </w:r>
          </w:p>
          <w:p w:rsidR="00EB50DD" w:rsidRPr="00A66428" w:rsidRDefault="00EB50DD" w:rsidP="00EB50DD">
            <w:pPr>
              <w:pStyle w:val="Nessunaspaziatura"/>
              <w:cnfStyle w:val="000000000000"/>
            </w:pPr>
          </w:p>
        </w:tc>
        <w:tc>
          <w:tcPr>
            <w:tcW w:w="0" w:type="auto"/>
          </w:tcPr>
          <w:p w:rsidR="0015594C" w:rsidRPr="00A66428" w:rsidRDefault="0015594C" w:rsidP="0015594C">
            <w:pPr>
              <w:pStyle w:val="Nessunaspaziatura"/>
              <w:cnfStyle w:val="000000000000"/>
            </w:pPr>
            <w:r w:rsidRPr="00A66428">
              <w:t>A capped budget of €1.5bn will be available for new installations as from 1</w:t>
            </w:r>
            <w:r w:rsidR="00B75BDE" w:rsidRPr="00A66428">
              <w:t>st</w:t>
            </w:r>
            <w:r w:rsidRPr="00A66428">
              <w:t xml:space="preserve"> July 2011. This is equivalent to approximately €100m per year.</w:t>
            </w:r>
          </w:p>
          <w:p w:rsidR="0015594C" w:rsidRPr="00A66428" w:rsidRDefault="00EB50DD" w:rsidP="00EB50DD">
            <w:pPr>
              <w:pStyle w:val="Nessunaspaziatura"/>
              <w:cnfStyle w:val="000000000000"/>
            </w:pPr>
            <w:r w:rsidRPr="00A66428">
              <w:t xml:space="preserve">The </w:t>
            </w:r>
            <w:hyperlink r:id="rId14" w:history="1">
              <w:r w:rsidRPr="00A66428">
                <w:rPr>
                  <w:rStyle w:val="Collegamentoipertestuale"/>
                </w:rPr>
                <w:t>guaranteed price</w:t>
              </w:r>
              <w:r w:rsidR="002B52A4" w:rsidRPr="00A66428">
                <w:rPr>
                  <w:rStyle w:val="Collegamentoipertestuale"/>
                </w:rPr>
                <w:t>s</w:t>
              </w:r>
            </w:hyperlink>
            <w:r w:rsidRPr="00A66428">
              <w:t xml:space="preserve"> depend upon technology type and feedstock and can vary throughout the year</w:t>
            </w:r>
            <w:r w:rsidR="0015594C" w:rsidRPr="00A66428">
              <w:t>.</w:t>
            </w:r>
          </w:p>
          <w:p w:rsidR="00EB50DD" w:rsidRPr="00A66428" w:rsidRDefault="00EB50DD" w:rsidP="0015594C">
            <w:pPr>
              <w:pStyle w:val="Nessunaspaziatura"/>
              <w:numPr>
                <w:ilvl w:val="0"/>
                <w:numId w:val="6"/>
              </w:numPr>
              <w:cnfStyle w:val="000000000000"/>
            </w:pPr>
            <w:r w:rsidRPr="00A66428">
              <w:t>Renewable heat and CHP:</w:t>
            </w:r>
          </w:p>
          <w:p w:rsidR="0015594C" w:rsidRPr="00A66428" w:rsidRDefault="00AD79F4" w:rsidP="0015594C">
            <w:pPr>
              <w:pStyle w:val="Nessunaspaziatura"/>
              <w:cnfStyle w:val="000000000000"/>
            </w:pPr>
            <w:r w:rsidRPr="00A66428">
              <w:t>AD</w:t>
            </w:r>
            <w:r w:rsidR="00EB50DD" w:rsidRPr="00A66428">
              <w:t xml:space="preserve"> heat: </w:t>
            </w:r>
            <w:r w:rsidR="00B75BDE" w:rsidRPr="00A66428">
              <w:t>€</w:t>
            </w:r>
            <w:r w:rsidR="00EB50DD" w:rsidRPr="00A66428">
              <w:t>14.7 /GJ</w:t>
            </w:r>
            <w:r w:rsidR="0015594C" w:rsidRPr="00A66428">
              <w:t xml:space="preserve">; </w:t>
            </w:r>
            <w:r w:rsidRPr="00A66428">
              <w:t>AD-</w:t>
            </w:r>
            <w:r w:rsidR="00EB50DD" w:rsidRPr="00A66428">
              <w:t xml:space="preserve">CHP: </w:t>
            </w:r>
            <w:r w:rsidR="00B75BDE" w:rsidRPr="00A66428">
              <w:t>€</w:t>
            </w:r>
            <w:r w:rsidR="00EB50DD" w:rsidRPr="00A66428">
              <w:t>19.4-26 /GJ</w:t>
            </w:r>
            <w:r w:rsidR="0015594C" w:rsidRPr="00A66428">
              <w:t xml:space="preserve">; </w:t>
            </w:r>
            <w:r w:rsidR="00EB50DD" w:rsidRPr="00A66428">
              <w:t xml:space="preserve">Fermentation of manure heat: </w:t>
            </w:r>
            <w:r w:rsidR="00B75BDE" w:rsidRPr="00A66428">
              <w:t>€</w:t>
            </w:r>
            <w:r w:rsidR="00EB50DD" w:rsidRPr="00A66428">
              <w:t>19.4-2.6 /GJ</w:t>
            </w:r>
            <w:r w:rsidR="0015594C" w:rsidRPr="00A66428">
              <w:t xml:space="preserve">; </w:t>
            </w:r>
            <w:r w:rsidR="00EB50DD" w:rsidRPr="00A66428">
              <w:t xml:space="preserve">Vegetable matter: </w:t>
            </w:r>
            <w:r w:rsidR="00B75BDE" w:rsidRPr="00A66428">
              <w:t>€</w:t>
            </w:r>
            <w:r w:rsidR="00EB50DD" w:rsidRPr="00A66428">
              <w:t>8.2 /GJ</w:t>
            </w:r>
            <w:r w:rsidR="0015594C" w:rsidRPr="00A66428">
              <w:t xml:space="preserve">; </w:t>
            </w:r>
            <w:r w:rsidRPr="00A66428">
              <w:t>AD of</w:t>
            </w:r>
            <w:r w:rsidR="00EB50DD" w:rsidRPr="00A66428">
              <w:t xml:space="preserve"> manure </w:t>
            </w:r>
            <w:r w:rsidRPr="00A66428">
              <w:t xml:space="preserve">with </w:t>
            </w:r>
            <w:r w:rsidR="00EB50DD" w:rsidRPr="00A66428">
              <w:t xml:space="preserve">CHP: </w:t>
            </w:r>
            <w:r w:rsidR="00B75BDE" w:rsidRPr="00A66428">
              <w:t>€</w:t>
            </w:r>
            <w:r w:rsidR="00EB50DD" w:rsidRPr="00A66428">
              <w:t>19.4-31.1 /GJ</w:t>
            </w:r>
            <w:r w:rsidR="0015594C" w:rsidRPr="00A66428">
              <w:t xml:space="preserve">; </w:t>
            </w:r>
            <w:r w:rsidR="00EB50DD" w:rsidRPr="00A66428">
              <w:t xml:space="preserve">Thermal conversion heat: </w:t>
            </w:r>
            <w:r w:rsidR="00B75BDE" w:rsidRPr="00A66428">
              <w:t>€</w:t>
            </w:r>
            <w:r w:rsidR="00EB50DD" w:rsidRPr="00A66428">
              <w:t>6.3 /GJ</w:t>
            </w:r>
            <w:r w:rsidR="0015594C" w:rsidRPr="00A66428">
              <w:t xml:space="preserve">; </w:t>
            </w:r>
            <w:r w:rsidR="00EB50DD" w:rsidRPr="00A66428">
              <w:t xml:space="preserve">Thermal conversion CHP: </w:t>
            </w:r>
            <w:r w:rsidR="00B75BDE" w:rsidRPr="00A66428">
              <w:t>€</w:t>
            </w:r>
            <w:r w:rsidR="00EB50DD" w:rsidRPr="00A66428">
              <w:t>18.7 /GJ</w:t>
            </w:r>
            <w:r w:rsidR="0015594C" w:rsidRPr="00A66428">
              <w:t xml:space="preserve">; </w:t>
            </w:r>
            <w:r w:rsidR="00EB50DD" w:rsidRPr="00A66428">
              <w:t>Wastewater treatment/sewage treatment</w:t>
            </w:r>
            <w:r w:rsidRPr="00A66428">
              <w:t xml:space="preserve"> heat</w:t>
            </w:r>
            <w:r w:rsidR="00EB50DD" w:rsidRPr="00A66428">
              <w:t xml:space="preserve">: </w:t>
            </w:r>
            <w:r w:rsidR="00B75BDE" w:rsidRPr="00A66428">
              <w:t>€</w:t>
            </w:r>
            <w:r w:rsidR="00EB50DD" w:rsidRPr="00A66428">
              <w:t>0.070-0.096 /GJ</w:t>
            </w:r>
            <w:r w:rsidR="0015594C" w:rsidRPr="00A66428">
              <w:t xml:space="preserve">; </w:t>
            </w:r>
          </w:p>
          <w:p w:rsidR="00AD79F4" w:rsidRPr="00A66428" w:rsidRDefault="00AD79F4" w:rsidP="00AD79F4">
            <w:pPr>
              <w:pStyle w:val="Nessunaspaziatura"/>
              <w:numPr>
                <w:ilvl w:val="0"/>
                <w:numId w:val="5"/>
              </w:numPr>
              <w:cnfStyle w:val="000000000000"/>
            </w:pPr>
            <w:r w:rsidRPr="00A66428">
              <w:t>Green gaseous fuels</w:t>
            </w:r>
          </w:p>
          <w:p w:rsidR="00EB50DD" w:rsidRPr="00A66428" w:rsidRDefault="00AD79F4" w:rsidP="00B75BDE">
            <w:pPr>
              <w:pStyle w:val="Nessunaspaziatura"/>
              <w:cnfStyle w:val="000000000000"/>
            </w:pPr>
            <w:r w:rsidRPr="00A66428">
              <w:t xml:space="preserve">AD </w:t>
            </w:r>
            <w:r w:rsidR="00A275C9" w:rsidRPr="00A66428">
              <w:t>Biomethane</w:t>
            </w:r>
            <w:r w:rsidR="00B75BDE" w:rsidRPr="00A66428">
              <w:t>€</w:t>
            </w:r>
            <w:r w:rsidR="00EB50DD" w:rsidRPr="00A66428">
              <w:t>0.4828-0.594 /Nm</w:t>
            </w:r>
            <w:r w:rsidR="00EB50DD" w:rsidRPr="00A66428">
              <w:rPr>
                <w:vertAlign w:val="superscript"/>
              </w:rPr>
              <w:t>3</w:t>
            </w:r>
            <w:r w:rsidR="00DB30B1" w:rsidRPr="00A66428">
              <w:rPr>
                <w:rStyle w:val="Rimandonotaapidipagina"/>
              </w:rPr>
              <w:footnoteReference w:id="18"/>
            </w:r>
            <w:r w:rsidR="0015594C" w:rsidRPr="00A66428">
              <w:t xml:space="preserve">; </w:t>
            </w:r>
            <w:r w:rsidR="00A275C9" w:rsidRPr="00A66428">
              <w:t>AD</w:t>
            </w:r>
            <w:r w:rsidRPr="00A66428">
              <w:t xml:space="preserve"> Biomethane from </w:t>
            </w:r>
            <w:r w:rsidR="00EB50DD" w:rsidRPr="00A66428">
              <w:t xml:space="preserve">manure: </w:t>
            </w:r>
            <w:r w:rsidR="00B75BDE" w:rsidRPr="00A66428">
              <w:t>€</w:t>
            </w:r>
            <w:r w:rsidR="00EB50DD" w:rsidRPr="00A66428">
              <w:t>0.4828-0.74 /Nm</w:t>
            </w:r>
            <w:r w:rsidR="00EB50DD" w:rsidRPr="00A66428">
              <w:rPr>
                <w:vertAlign w:val="superscript"/>
              </w:rPr>
              <w:t>3</w:t>
            </w:r>
            <w:r w:rsidR="0015594C" w:rsidRPr="00A66428">
              <w:t>;</w:t>
            </w:r>
            <w:r w:rsidR="00EB50DD" w:rsidRPr="00A66428">
              <w:t xml:space="preserve">Biomass gasification: </w:t>
            </w:r>
            <w:r w:rsidR="00B75BDE" w:rsidRPr="00A66428">
              <w:t>€</w:t>
            </w:r>
            <w:r w:rsidR="00EB50DD" w:rsidRPr="00A66428">
              <w:t>0.4828-1.0345 /Nm</w:t>
            </w:r>
            <w:r w:rsidR="00EB50DD" w:rsidRPr="00A66428">
              <w:rPr>
                <w:vertAlign w:val="superscript"/>
              </w:rPr>
              <w:t>3</w:t>
            </w:r>
            <w:r w:rsidR="0015594C" w:rsidRPr="00A66428">
              <w:t xml:space="preserve">; </w:t>
            </w:r>
            <w:r w:rsidR="00EB50DD" w:rsidRPr="00A66428">
              <w:t>Wastewater treatment/Sewage treatment solo</w:t>
            </w:r>
            <w:r w:rsidR="00A01262" w:rsidRPr="00A66428">
              <w:t xml:space="preserve"> green gas</w:t>
            </w:r>
            <w:r w:rsidR="00EB50DD" w:rsidRPr="00A66428">
              <w:t xml:space="preserve">: </w:t>
            </w:r>
            <w:r w:rsidR="00B75BDE" w:rsidRPr="00A66428">
              <w:t>€</w:t>
            </w:r>
            <w:r w:rsidR="00EB50DD" w:rsidRPr="00A66428">
              <w:t>0.312 /Nm</w:t>
            </w:r>
            <w:r w:rsidR="00EB50DD" w:rsidRPr="00A66428">
              <w:rPr>
                <w:vertAlign w:val="superscript"/>
              </w:rPr>
              <w:t>3</w:t>
            </w:r>
          </w:p>
        </w:tc>
      </w:tr>
      <w:tr w:rsidR="00FB44D1" w:rsidRPr="00A66428" w:rsidTr="0050093A">
        <w:trPr>
          <w:cantSplit/>
          <w:trHeight w:val="416"/>
        </w:trPr>
        <w:tc>
          <w:tcPr>
            <w:cnfStyle w:val="001000000000"/>
            <w:tcW w:w="0" w:type="auto"/>
          </w:tcPr>
          <w:p w:rsidR="00D3059E" w:rsidRPr="00A66428" w:rsidRDefault="00D3059E" w:rsidP="00D3059E">
            <w:pPr>
              <w:pStyle w:val="Nessunaspaziatura"/>
            </w:pPr>
            <w:r w:rsidRPr="00A66428">
              <w:t xml:space="preserve">Demonstration energy innovation </w:t>
            </w:r>
            <w:r w:rsidR="008763D8" w:rsidRPr="00A66428">
              <w:t>subsidy</w:t>
            </w:r>
            <w:r w:rsidR="00115013" w:rsidRPr="00A66428">
              <w:t xml:space="preserve"> (DEI project) </w:t>
            </w:r>
            <w:r w:rsidR="0075484D" w:rsidRPr="00A66428">
              <w:t>- Topsector energie</w:t>
            </w:r>
            <w:r w:rsidR="00115013" w:rsidRPr="00A66428">
              <w:rPr>
                <w:rStyle w:val="Rimandonotaapidipagina"/>
              </w:rPr>
              <w:footnoteReference w:id="19"/>
            </w:r>
          </w:p>
          <w:p w:rsidR="00D3059E" w:rsidRPr="00A66428" w:rsidRDefault="00D3059E" w:rsidP="00643652">
            <w:pPr>
              <w:pStyle w:val="Nessunaspaziatura"/>
            </w:pPr>
          </w:p>
        </w:tc>
        <w:tc>
          <w:tcPr>
            <w:tcW w:w="0" w:type="auto"/>
          </w:tcPr>
          <w:p w:rsidR="00D3059E" w:rsidRPr="00A66428" w:rsidRDefault="00414FC0" w:rsidP="00D3059E">
            <w:pPr>
              <w:pStyle w:val="Nessunaspaziatura"/>
              <w:cnfStyle w:val="000000000000"/>
            </w:pPr>
            <w:r w:rsidRPr="00A66428">
              <w:t>P</w:t>
            </w:r>
            <w:r w:rsidR="00D3059E" w:rsidRPr="00A66428">
              <w:t xml:space="preserve">ublic resources available for innovation for demonstration projects aimed at accelerating commercialization are from Topsector Energy for exports. </w:t>
            </w:r>
          </w:p>
          <w:p w:rsidR="00D3059E" w:rsidRPr="00A66428" w:rsidRDefault="00D3059E" w:rsidP="00414FC0">
            <w:pPr>
              <w:pStyle w:val="Nessunaspaziatura"/>
              <w:cnfStyle w:val="000000000000"/>
            </w:pPr>
          </w:p>
        </w:tc>
        <w:tc>
          <w:tcPr>
            <w:tcW w:w="0" w:type="auto"/>
          </w:tcPr>
          <w:p w:rsidR="00115013" w:rsidRPr="00A66428" w:rsidRDefault="0075484D" w:rsidP="0075484D">
            <w:pPr>
              <w:pStyle w:val="Nessunaspaziatura"/>
              <w:cnfStyle w:val="000000000000"/>
            </w:pPr>
            <w:r w:rsidRPr="00A66428">
              <w:t xml:space="preserve">Eligibility criteria: </w:t>
            </w:r>
            <w:r w:rsidR="00115013" w:rsidRPr="00A66428">
              <w:t xml:space="preserve">Eligible projects that conserve energy, and will generate renewable energy or encourage their use. </w:t>
            </w:r>
          </w:p>
          <w:p w:rsidR="00115013" w:rsidRPr="00A66428" w:rsidRDefault="00115013" w:rsidP="0075484D">
            <w:pPr>
              <w:pStyle w:val="Nessunaspaziatura"/>
              <w:cnfStyle w:val="000000000000"/>
            </w:pPr>
            <w:r w:rsidRPr="00A66428">
              <w:t xml:space="preserve">Renewable resources eligible are energy from biomass, landfill gas, sewage treatment and biogas among others. </w:t>
            </w:r>
          </w:p>
          <w:p w:rsidR="00D3059E" w:rsidRPr="00A66428" w:rsidRDefault="00D3059E" w:rsidP="002A2019">
            <w:pPr>
              <w:pStyle w:val="Nessunaspaziatura"/>
              <w:cnfStyle w:val="000000000000"/>
            </w:pPr>
            <w:r w:rsidRPr="00A66428">
              <w:t>The project is implemented by a company or by a partnership in which at least one company is incorporated. At least 70% of the eligible costs must be attrib</w:t>
            </w:r>
            <w:r w:rsidR="0075484D" w:rsidRPr="00A66428">
              <w:t xml:space="preserve">utable to the demonstration. </w:t>
            </w:r>
            <w:r w:rsidRPr="00A66428">
              <w:t>The project duration is 4 years.</w:t>
            </w:r>
          </w:p>
        </w:tc>
        <w:tc>
          <w:tcPr>
            <w:tcW w:w="0" w:type="auto"/>
          </w:tcPr>
          <w:p w:rsidR="00414FC0" w:rsidRPr="00A66428" w:rsidRDefault="00D3059E" w:rsidP="0015594C">
            <w:pPr>
              <w:pStyle w:val="Nessunaspaziatura"/>
              <w:cnfStyle w:val="000000000000"/>
            </w:pPr>
            <w:r w:rsidRPr="00A66428">
              <w:t>The amount requeste</w:t>
            </w:r>
            <w:r w:rsidR="008763D8" w:rsidRPr="00A66428">
              <w:t xml:space="preserve">d should be more than €125,000, </w:t>
            </w:r>
            <w:r w:rsidR="00724019" w:rsidRPr="00A66428">
              <w:t>and</w:t>
            </w:r>
            <w:r w:rsidR="008763D8" w:rsidRPr="00A66428">
              <w:t xml:space="preserve"> not more than </w:t>
            </w:r>
            <w:r w:rsidRPr="00A66428">
              <w:t>€4</w:t>
            </w:r>
            <w:r w:rsidR="00D448A0" w:rsidRPr="00A66428">
              <w:t>m</w:t>
            </w:r>
            <w:r w:rsidRPr="00A66428">
              <w:t>.</w:t>
            </w:r>
          </w:p>
          <w:p w:rsidR="00414FC0" w:rsidRPr="00A66428" w:rsidRDefault="00414FC0" w:rsidP="00414FC0">
            <w:pPr>
              <w:pStyle w:val="Nessunaspaziatura"/>
              <w:cnfStyle w:val="000000000000"/>
            </w:pPr>
            <w:r w:rsidRPr="00A66428">
              <w:t xml:space="preserve">The budget for this new energy innovation scheme increases from </w:t>
            </w:r>
            <w:r w:rsidR="00D448A0" w:rsidRPr="00A66428">
              <w:t>€</w:t>
            </w:r>
            <w:r w:rsidRPr="00A66428">
              <w:t>25</w:t>
            </w:r>
            <w:r w:rsidR="00D448A0" w:rsidRPr="00A66428">
              <w:t>m</w:t>
            </w:r>
            <w:r w:rsidRPr="00A66428">
              <w:t xml:space="preserve">in 2014, </w:t>
            </w:r>
            <w:r w:rsidR="00D448A0" w:rsidRPr="00A66428">
              <w:t>€</w:t>
            </w:r>
            <w:r w:rsidRPr="00A66428">
              <w:t>35</w:t>
            </w:r>
            <w:r w:rsidR="00D448A0" w:rsidRPr="00A66428">
              <w:t>m</w:t>
            </w:r>
            <w:r w:rsidRPr="00A66428">
              <w:t xml:space="preserve"> in 2015, </w:t>
            </w:r>
            <w:r w:rsidR="00D448A0" w:rsidRPr="00A66428">
              <w:t>€</w:t>
            </w:r>
            <w:r w:rsidRPr="00A66428">
              <w:t>45</w:t>
            </w:r>
            <w:r w:rsidR="00D448A0" w:rsidRPr="00A66428">
              <w:t>m</w:t>
            </w:r>
            <w:r w:rsidRPr="00A66428">
              <w:t xml:space="preserve">in 2016 to </w:t>
            </w:r>
            <w:r w:rsidR="00D448A0" w:rsidRPr="00A66428">
              <w:t>€</w:t>
            </w:r>
            <w:r w:rsidRPr="00A66428">
              <w:t>50</w:t>
            </w:r>
            <w:r w:rsidR="00D448A0" w:rsidRPr="00A66428">
              <w:t>m</w:t>
            </w:r>
            <w:r w:rsidRPr="00A66428">
              <w:t xml:space="preserve"> from 2017 structurally. </w:t>
            </w:r>
          </w:p>
          <w:p w:rsidR="00D3059E" w:rsidRPr="00A66428" w:rsidRDefault="00D3059E" w:rsidP="0015594C">
            <w:pPr>
              <w:pStyle w:val="Nessunaspaziatura"/>
              <w:cnfStyle w:val="000000000000"/>
            </w:pPr>
          </w:p>
        </w:tc>
      </w:tr>
      <w:tr w:rsidR="00A66292" w:rsidRPr="00A66428" w:rsidTr="0050093A">
        <w:trPr>
          <w:cantSplit/>
          <w:trHeight w:val="416"/>
        </w:trPr>
        <w:tc>
          <w:tcPr>
            <w:cnfStyle w:val="001000000000"/>
            <w:tcW w:w="0" w:type="auto"/>
          </w:tcPr>
          <w:p w:rsidR="00F1143F" w:rsidRPr="00A66428" w:rsidRDefault="00F1143F" w:rsidP="00F1143F">
            <w:pPr>
              <w:pStyle w:val="Nessunaspaziatura"/>
            </w:pPr>
            <w:r w:rsidRPr="00A66428">
              <w:t>Tender 1</w:t>
            </w:r>
            <w:r w:rsidR="002D65A7" w:rsidRPr="00A66428">
              <w:t>&amp;2</w:t>
            </w:r>
            <w:r w:rsidRPr="00A66428">
              <w:t xml:space="preserve"> - BBE Cost Reduction electricity and heat 2014-  Topsector energie</w:t>
            </w:r>
            <w:r w:rsidR="004B014C" w:rsidRPr="00A66428">
              <w:rPr>
                <w:rStyle w:val="Rimandonotaapidipagina"/>
              </w:rPr>
              <w:footnoteReference w:id="20"/>
            </w:r>
            <w:r w:rsidR="006D2C58" w:rsidRPr="00A66428">
              <w:rPr>
                <w:rStyle w:val="Rimandonotaapidipagina"/>
              </w:rPr>
              <w:footnoteReference w:id="21"/>
            </w:r>
          </w:p>
          <w:p w:rsidR="00F1143F" w:rsidRPr="00A66428" w:rsidRDefault="00F1143F" w:rsidP="00D3059E">
            <w:pPr>
              <w:pStyle w:val="Nessunaspaziatura"/>
            </w:pPr>
          </w:p>
        </w:tc>
        <w:tc>
          <w:tcPr>
            <w:tcW w:w="0" w:type="auto"/>
          </w:tcPr>
          <w:p w:rsidR="00F1143F" w:rsidRPr="00A66428" w:rsidRDefault="002D65A7" w:rsidP="00D3059E">
            <w:pPr>
              <w:pStyle w:val="Nessunaspaziatura"/>
              <w:cnfStyle w:val="000000000000"/>
            </w:pPr>
            <w:r w:rsidRPr="00A66428">
              <w:t>The purpose of this tender is to support research and development projects that lead to a reduction in the cost of production of electricity and heat from biomass with a practical application before 2023. In addition, demonstration projects and the focus should be on validation of the first practical application of new technology.</w:t>
            </w:r>
          </w:p>
        </w:tc>
        <w:tc>
          <w:tcPr>
            <w:tcW w:w="0" w:type="auto"/>
          </w:tcPr>
          <w:p w:rsidR="00F1143F" w:rsidRPr="00A66428" w:rsidRDefault="002D65A7" w:rsidP="0075484D">
            <w:pPr>
              <w:pStyle w:val="Nessunaspaziatura"/>
              <w:cnfStyle w:val="000000000000"/>
              <w:rPr>
                <w:rStyle w:val="notranslate"/>
              </w:rPr>
            </w:pPr>
            <w:r w:rsidRPr="00A66428">
              <w:rPr>
                <w:rStyle w:val="notranslate"/>
              </w:rPr>
              <w:t xml:space="preserve">The project is implemented by a partnership consisting of at least two companies. </w:t>
            </w:r>
          </w:p>
          <w:p w:rsidR="002D65A7" w:rsidRPr="00A66428" w:rsidRDefault="002D65A7" w:rsidP="002D65A7">
            <w:pPr>
              <w:pStyle w:val="Nessunaspaziatura"/>
              <w:cnfStyle w:val="000000000000"/>
            </w:pPr>
            <w:r w:rsidRPr="00A66428">
              <w:t xml:space="preserve">The project is focused on research and development or the first application of a new technology (demonstration project). In a research / development project run in a laboratory environment and / or pilot plant experiments that lead to a new process or product. In a demonstration project applies a new technology for the first time in a practical environment. </w:t>
            </w:r>
          </w:p>
          <w:p w:rsidR="002D65A7" w:rsidRPr="00A66428" w:rsidRDefault="002D65A7" w:rsidP="002D65A7">
            <w:pPr>
              <w:pStyle w:val="Nessunaspaziatura"/>
              <w:cnfStyle w:val="000000000000"/>
            </w:pPr>
            <w:r w:rsidRPr="00A66428">
              <w:t xml:space="preserve">The project fits within one of the following program lines: Biorefinery, Chemical and biotechnological conversion technology, Co-firing, High energy carriers. </w:t>
            </w:r>
          </w:p>
          <w:p w:rsidR="002D65A7" w:rsidRPr="00A66428" w:rsidRDefault="002D65A7" w:rsidP="002D65A7">
            <w:pPr>
              <w:pStyle w:val="Nessunaspaziatura"/>
              <w:cnfStyle w:val="000000000000"/>
              <w:rPr>
                <w:sz w:val="22"/>
              </w:rPr>
            </w:pPr>
            <w:r w:rsidRPr="00A66428">
              <w:t>At least 40% of the funding comes from the private sector.</w:t>
            </w:r>
          </w:p>
          <w:p w:rsidR="002D65A7" w:rsidRPr="00A66428" w:rsidRDefault="002D65A7" w:rsidP="002D65A7">
            <w:pPr>
              <w:pStyle w:val="Nessunaspaziatura"/>
              <w:cnfStyle w:val="000000000000"/>
            </w:pPr>
            <w:r w:rsidRPr="00A66428">
              <w:t>The duration of the project is four years.</w:t>
            </w:r>
          </w:p>
          <w:p w:rsidR="002D65A7" w:rsidRPr="00A66428" w:rsidRDefault="002D65A7" w:rsidP="002D65A7">
            <w:pPr>
              <w:pStyle w:val="Nessunaspaziatura"/>
              <w:cnfStyle w:val="000000000000"/>
            </w:pPr>
            <w:r w:rsidRPr="00A66428">
              <w:t xml:space="preserve">Projects focused on the refining of aquatic biomass (algae and seaweeds) are </w:t>
            </w:r>
            <w:r w:rsidRPr="00A66428">
              <w:rPr>
                <w:u w:val="single"/>
              </w:rPr>
              <w:t>not</w:t>
            </w:r>
            <w:r w:rsidRPr="00A66428">
              <w:t xml:space="preserve"> eligible.</w:t>
            </w:r>
          </w:p>
        </w:tc>
        <w:tc>
          <w:tcPr>
            <w:tcW w:w="0" w:type="auto"/>
          </w:tcPr>
          <w:p w:rsidR="00F1143F" w:rsidRPr="00A66428" w:rsidRDefault="002D65A7" w:rsidP="00D448A0">
            <w:pPr>
              <w:pStyle w:val="Nessunaspaziatura"/>
              <w:cnfStyle w:val="000000000000"/>
            </w:pPr>
            <w:r w:rsidRPr="00A66428">
              <w:t xml:space="preserve">To get 25 </w:t>
            </w:r>
            <w:r w:rsidR="00D448A0" w:rsidRPr="00A66428">
              <w:t>-</w:t>
            </w:r>
            <w:r w:rsidRPr="00A66428">
              <w:t xml:space="preserve"> 60% subsidy, the entire project </w:t>
            </w:r>
            <w:r w:rsidR="00D448A0" w:rsidRPr="00A66428">
              <w:t xml:space="preserve">has </w:t>
            </w:r>
            <w:r w:rsidRPr="00A66428">
              <w:t>a maximum of €1</w:t>
            </w:r>
            <w:r w:rsidR="00D448A0" w:rsidRPr="00A66428">
              <w:t>m</w:t>
            </w:r>
            <w:r w:rsidRPr="00A66428">
              <w:t>.</w:t>
            </w:r>
          </w:p>
        </w:tc>
      </w:tr>
    </w:tbl>
    <w:p w:rsidR="002A7C7F" w:rsidRDefault="002A7C7F" w:rsidP="002A7C7F">
      <w:pPr>
        <w:rPr>
          <w:rFonts w:eastAsiaTheme="majorEastAsia"/>
          <w:smallCaps/>
          <w:spacing w:val="5"/>
          <w:sz w:val="32"/>
          <w:szCs w:val="32"/>
        </w:rPr>
      </w:pPr>
    </w:p>
    <w:p w:rsidR="006B40AC" w:rsidRDefault="006B40AC" w:rsidP="002A7C7F">
      <w:pPr>
        <w:rPr>
          <w:rFonts w:eastAsiaTheme="majorEastAsia"/>
          <w:smallCaps/>
          <w:spacing w:val="5"/>
          <w:sz w:val="32"/>
          <w:szCs w:val="32"/>
        </w:rPr>
      </w:pPr>
    </w:p>
    <w:p w:rsidR="006B40AC" w:rsidRDefault="006B40AC" w:rsidP="002A7C7F">
      <w:pPr>
        <w:rPr>
          <w:rFonts w:eastAsiaTheme="majorEastAsia"/>
          <w:smallCaps/>
          <w:spacing w:val="5"/>
          <w:sz w:val="32"/>
          <w:szCs w:val="32"/>
        </w:rPr>
      </w:pPr>
    </w:p>
    <w:p w:rsidR="006B40AC" w:rsidRDefault="006B40AC" w:rsidP="002A7C7F">
      <w:pPr>
        <w:rPr>
          <w:rFonts w:eastAsiaTheme="majorEastAsia"/>
          <w:smallCaps/>
          <w:spacing w:val="5"/>
          <w:sz w:val="32"/>
          <w:szCs w:val="32"/>
        </w:rPr>
      </w:pPr>
    </w:p>
    <w:p w:rsidR="006B40AC" w:rsidRPr="00A66428" w:rsidRDefault="006B40AC" w:rsidP="002A7C7F"/>
    <w:p w:rsidR="000224CE" w:rsidRPr="00A66428" w:rsidRDefault="00F1143F" w:rsidP="00801B8C">
      <w:pPr>
        <w:pStyle w:val="Titolo1"/>
        <w:rPr>
          <w:rFonts w:eastAsiaTheme="majorEastAsia"/>
        </w:rPr>
      </w:pPr>
      <w:r w:rsidRPr="00A66428">
        <w:rPr>
          <w:rFonts w:eastAsiaTheme="majorEastAsia"/>
        </w:rPr>
        <w:t>Bio</w:t>
      </w:r>
      <w:r w:rsidR="00556853" w:rsidRPr="00A66428">
        <w:rPr>
          <w:rFonts w:eastAsiaTheme="majorEastAsia"/>
        </w:rPr>
        <w:t xml:space="preserve">mass </w:t>
      </w:r>
      <w:r w:rsidRPr="00A66428">
        <w:rPr>
          <w:rFonts w:eastAsiaTheme="majorEastAsia"/>
        </w:rPr>
        <w:t>refining</w:t>
      </w:r>
    </w:p>
    <w:tbl>
      <w:tblPr>
        <w:tblStyle w:val="Sfondomedio1-Colore2"/>
        <w:tblpPr w:leftFromText="181" w:rightFromText="181" w:vertAnchor="text" w:horzAnchor="margin" w:tblpY="1"/>
        <w:tblW w:w="0" w:type="auto"/>
        <w:tblLook w:val="06A0"/>
      </w:tblPr>
      <w:tblGrid>
        <w:gridCol w:w="2022"/>
        <w:gridCol w:w="3279"/>
        <w:gridCol w:w="5309"/>
        <w:gridCol w:w="3564"/>
      </w:tblGrid>
      <w:tr w:rsidR="002A7C7F" w:rsidRPr="00A66428" w:rsidTr="00390D4C">
        <w:trPr>
          <w:cnfStyle w:val="100000000000"/>
          <w:cantSplit/>
        </w:trPr>
        <w:tc>
          <w:tcPr>
            <w:cnfStyle w:val="001000000000"/>
            <w:tcW w:w="0" w:type="auto"/>
          </w:tcPr>
          <w:p w:rsidR="00F1143F" w:rsidRPr="00A66428" w:rsidRDefault="00F1143F" w:rsidP="00390D4C">
            <w:pPr>
              <w:pStyle w:val="Nessunaspaziatura"/>
            </w:pPr>
            <w:r w:rsidRPr="00A66428">
              <w:t xml:space="preserve">Policy </w:t>
            </w:r>
          </w:p>
        </w:tc>
        <w:tc>
          <w:tcPr>
            <w:tcW w:w="0" w:type="auto"/>
          </w:tcPr>
          <w:p w:rsidR="00F1143F" w:rsidRPr="00A66428" w:rsidRDefault="00F1143F" w:rsidP="00390D4C">
            <w:pPr>
              <w:pStyle w:val="Nessunaspaziatura"/>
              <w:cnfStyle w:val="100000000000"/>
            </w:pPr>
            <w:r w:rsidRPr="00A66428">
              <w:t>Ambitions</w:t>
            </w:r>
          </w:p>
        </w:tc>
        <w:tc>
          <w:tcPr>
            <w:tcW w:w="0" w:type="auto"/>
          </w:tcPr>
          <w:p w:rsidR="00F1143F" w:rsidRPr="00A66428" w:rsidRDefault="00F1143F" w:rsidP="00390D4C">
            <w:pPr>
              <w:pStyle w:val="Nessunaspaziatura"/>
              <w:cnfStyle w:val="100000000000"/>
            </w:pPr>
            <w:r w:rsidRPr="00A66428">
              <w:t>Policy Measures</w:t>
            </w:r>
          </w:p>
        </w:tc>
        <w:tc>
          <w:tcPr>
            <w:tcW w:w="0" w:type="auto"/>
          </w:tcPr>
          <w:p w:rsidR="00F1143F" w:rsidRPr="00A66428" w:rsidRDefault="00F1143F" w:rsidP="00390D4C">
            <w:pPr>
              <w:pStyle w:val="Nessunaspaziatura"/>
              <w:cnfStyle w:val="100000000000"/>
            </w:pPr>
            <w:r w:rsidRPr="00A66428">
              <w:t>Financial Incentives</w:t>
            </w:r>
          </w:p>
        </w:tc>
      </w:tr>
      <w:tr w:rsidR="002A7C7F" w:rsidRPr="00A66428" w:rsidTr="00390D4C">
        <w:trPr>
          <w:cantSplit/>
          <w:trHeight w:val="64"/>
        </w:trPr>
        <w:tc>
          <w:tcPr>
            <w:cnfStyle w:val="001000000000"/>
            <w:tcW w:w="0" w:type="auto"/>
          </w:tcPr>
          <w:p w:rsidR="00F1143F" w:rsidRPr="00A66428" w:rsidRDefault="00F1143F" w:rsidP="00F1143F">
            <w:pPr>
              <w:pStyle w:val="Nessunaspaziatura"/>
              <w:rPr>
                <w:lang w:val="da-DK"/>
              </w:rPr>
            </w:pPr>
            <w:r w:rsidRPr="00A66428">
              <w:rPr>
                <w:lang w:val="da-DK"/>
              </w:rPr>
              <w:t>Tender Innovation BBE (BBE-I) 2014  Topsector energie</w:t>
            </w:r>
            <w:r w:rsidR="002D65A7" w:rsidRPr="00A66428">
              <w:rPr>
                <w:rStyle w:val="Rimandonotaapidipagina"/>
                <w:lang w:val="da-DK"/>
              </w:rPr>
              <w:footnoteReference w:id="22"/>
            </w:r>
          </w:p>
          <w:p w:rsidR="00F1143F" w:rsidRPr="00A66428" w:rsidRDefault="00F1143F" w:rsidP="00390D4C">
            <w:pPr>
              <w:pStyle w:val="Nessunaspaziatura"/>
              <w:rPr>
                <w:lang w:val="da-DK"/>
              </w:rPr>
            </w:pPr>
          </w:p>
        </w:tc>
        <w:tc>
          <w:tcPr>
            <w:tcW w:w="0" w:type="auto"/>
          </w:tcPr>
          <w:p w:rsidR="00F1143F" w:rsidRPr="00A66428" w:rsidRDefault="00F1143F" w:rsidP="00F1143F">
            <w:pPr>
              <w:pStyle w:val="Nessunaspaziatura"/>
              <w:cnfStyle w:val="000000000000"/>
            </w:pPr>
            <w:r w:rsidRPr="00A66428">
              <w:t xml:space="preserve">The purpose of this tender is the development of new bio-based products and processes. This should lead to an energy application or a reduction in energy consumption compared to conventional fossil routes. </w:t>
            </w:r>
          </w:p>
        </w:tc>
        <w:tc>
          <w:tcPr>
            <w:tcW w:w="0" w:type="auto"/>
          </w:tcPr>
          <w:p w:rsidR="008703DF" w:rsidRPr="00A66428" w:rsidRDefault="00F1143F" w:rsidP="00390D4C">
            <w:pPr>
              <w:pStyle w:val="Nessunaspaziatura"/>
              <w:cnfStyle w:val="000000000000"/>
            </w:pPr>
            <w:r w:rsidRPr="00A66428">
              <w:t xml:space="preserve">Tenders can request subsidy for innovative research and development projects. These should focus on catalytic chemical conversion of biomass </w:t>
            </w:r>
            <w:r w:rsidR="00A5787A" w:rsidRPr="00A66428">
              <w:t>and/</w:t>
            </w:r>
            <w:r w:rsidRPr="00A66428">
              <w:t xml:space="preserve">or biotechnological conversion. There must also be </w:t>
            </w:r>
            <w:r w:rsidR="00506B22" w:rsidRPr="00A66428">
              <w:t xml:space="preserve">a </w:t>
            </w:r>
            <w:r w:rsidRPr="00A66428">
              <w:t xml:space="preserve">cascade, or </w:t>
            </w:r>
            <w:r w:rsidR="00506B22" w:rsidRPr="00A66428">
              <w:t xml:space="preserve">a </w:t>
            </w:r>
            <w:r w:rsidRPr="00A66428">
              <w:t>more sophisticated</w:t>
            </w:r>
            <w:r w:rsidR="00506B22" w:rsidRPr="00A66428">
              <w:t xml:space="preserve"> and integrated</w:t>
            </w:r>
            <w:r w:rsidRPr="00A66428">
              <w:t xml:space="preserve"> use of biomass</w:t>
            </w:r>
            <w:r w:rsidR="008703DF" w:rsidRPr="00A66428">
              <w:t xml:space="preserve"> (biorefining)</w:t>
            </w:r>
            <w:r w:rsidRPr="00A66428">
              <w:t xml:space="preserve">. </w:t>
            </w:r>
          </w:p>
          <w:p w:rsidR="00F1143F" w:rsidRPr="00A66428" w:rsidRDefault="00F1143F" w:rsidP="00390D4C">
            <w:pPr>
              <w:pStyle w:val="Nessunaspaziatura"/>
              <w:cnfStyle w:val="000000000000"/>
            </w:pPr>
            <w:r w:rsidRPr="00A66428">
              <w:t>The project is implemented by a partnership of at least two companies. This partnership may be supplemented with other entrepreneurs, research institutes and / or other public or private parties.The duration of the project is four years.</w:t>
            </w:r>
          </w:p>
          <w:p w:rsidR="006D2C58" w:rsidRPr="00A66428" w:rsidRDefault="006D2C58" w:rsidP="00390D4C">
            <w:pPr>
              <w:pStyle w:val="Nessunaspaziatura"/>
              <w:cnfStyle w:val="000000000000"/>
            </w:pPr>
            <w:r w:rsidRPr="00A66428">
              <w:t xml:space="preserve">Projects focused on the refining of aquatic biomass (algae and seaweeds) are </w:t>
            </w:r>
            <w:r w:rsidRPr="00A66428">
              <w:rPr>
                <w:u w:val="single"/>
              </w:rPr>
              <w:t>not</w:t>
            </w:r>
            <w:r w:rsidRPr="00A66428">
              <w:t xml:space="preserve"> eligible.</w:t>
            </w:r>
          </w:p>
        </w:tc>
        <w:tc>
          <w:tcPr>
            <w:tcW w:w="0" w:type="auto"/>
          </w:tcPr>
          <w:p w:rsidR="00F1143F" w:rsidRPr="00A66428" w:rsidRDefault="00F1143F" w:rsidP="00F1143F">
            <w:pPr>
              <w:pStyle w:val="Nessunaspaziatura"/>
              <w:cnfStyle w:val="000000000000"/>
            </w:pPr>
            <w:r w:rsidRPr="00A66428">
              <w:t xml:space="preserve">To get participants 25 </w:t>
            </w:r>
            <w:r w:rsidR="00E67CF4" w:rsidRPr="00A66428">
              <w:t xml:space="preserve">- </w:t>
            </w:r>
            <w:r w:rsidRPr="00A66428">
              <w:t xml:space="preserve">60% subsidy. The maximum is € 500,000, - for the entire project. </w:t>
            </w:r>
          </w:p>
          <w:p w:rsidR="008703DF" w:rsidRPr="00A66428" w:rsidRDefault="008703DF" w:rsidP="008703DF">
            <w:pPr>
              <w:pStyle w:val="Nessunaspaziatura"/>
              <w:cnfStyle w:val="000000000000"/>
            </w:pPr>
            <w:r w:rsidRPr="00A66428">
              <w:t>At least 40% of the funding comes from the private sector.</w:t>
            </w:r>
          </w:p>
          <w:p w:rsidR="00F1143F" w:rsidRPr="00A66428" w:rsidRDefault="00F1143F" w:rsidP="00F1143F">
            <w:pPr>
              <w:pStyle w:val="Nessunaspaziatura"/>
              <w:cnfStyle w:val="000000000000"/>
            </w:pPr>
          </w:p>
        </w:tc>
      </w:tr>
      <w:tr w:rsidR="002A7C7F" w:rsidRPr="00A66428" w:rsidTr="00390D4C">
        <w:trPr>
          <w:cantSplit/>
          <w:trHeight w:val="64"/>
        </w:trPr>
        <w:tc>
          <w:tcPr>
            <w:cnfStyle w:val="001000000000"/>
            <w:tcW w:w="0" w:type="auto"/>
          </w:tcPr>
          <w:p w:rsidR="002A7C7F" w:rsidRPr="00A66428" w:rsidRDefault="002A7C7F" w:rsidP="002A7C7F">
            <w:pPr>
              <w:pStyle w:val="Nessunaspaziatura"/>
            </w:pPr>
            <w:r w:rsidRPr="00A66428">
              <w:t>MIT Feasibility Study- Topsector energie</w:t>
            </w:r>
            <w:r w:rsidRPr="00A66428">
              <w:rPr>
                <w:rStyle w:val="Rimandonotaapidipagina"/>
              </w:rPr>
              <w:footnoteReference w:id="23"/>
            </w:r>
            <w:r w:rsidRPr="00A66428">
              <w:t xml:space="preserve">, </w:t>
            </w:r>
            <w:r w:rsidRPr="00A66428">
              <w:rPr>
                <w:rStyle w:val="Rimandonotaapidipagina"/>
              </w:rPr>
              <w:footnoteReference w:id="24"/>
            </w:r>
            <w:r w:rsidRPr="00A66428">
              <w:t xml:space="preserve"> 2014</w:t>
            </w:r>
          </w:p>
        </w:tc>
        <w:tc>
          <w:tcPr>
            <w:tcW w:w="0" w:type="auto"/>
          </w:tcPr>
          <w:p w:rsidR="002A7C7F" w:rsidRPr="00A66428" w:rsidRDefault="002A7C7F" w:rsidP="002A7C7F">
            <w:pPr>
              <w:pStyle w:val="Nessunaspaziatura"/>
              <w:cnfStyle w:val="000000000000"/>
            </w:pPr>
            <w:r w:rsidRPr="00A66428">
              <w:t>Help SMEs develop ideas into business models.</w:t>
            </w:r>
          </w:p>
        </w:tc>
        <w:tc>
          <w:tcPr>
            <w:tcW w:w="0" w:type="auto"/>
          </w:tcPr>
          <w:p w:rsidR="002A7C7F" w:rsidRPr="00A66428" w:rsidRDefault="002A7C7F" w:rsidP="002A7C7F">
            <w:pPr>
              <w:pStyle w:val="Nessunaspaziatura"/>
              <w:cnfStyle w:val="000000000000"/>
            </w:pPr>
            <w:r w:rsidRPr="00A66428">
              <w:t>SME entrepreneur</w:t>
            </w:r>
            <w:r w:rsidR="008703DF" w:rsidRPr="00A66428">
              <w:t>s are subsidized for</w:t>
            </w:r>
            <w:r w:rsidRPr="00A66428">
              <w:t xml:space="preserve"> carry</w:t>
            </w:r>
            <w:r w:rsidR="008703DF" w:rsidRPr="00A66428">
              <w:t>ing</w:t>
            </w:r>
            <w:r w:rsidRPr="00A66428">
              <w:t xml:space="preserve"> out a feasibility study. A feasibility study will advance the technical and economic risks and opportunities of a proposed innovation map. A feasibility study consists mainly of desk research, think of literature, patent search, inventory of available technology and potential partners, market research and competition analysis. Desk research is sometimes supplemented with some </w:t>
            </w:r>
            <w:r w:rsidR="00FB2865" w:rsidRPr="00A66428">
              <w:t xml:space="preserve">preliminarylab </w:t>
            </w:r>
            <w:r w:rsidRPr="00A66428">
              <w:t xml:space="preserve">experiments. </w:t>
            </w:r>
          </w:p>
          <w:p w:rsidR="002A7C7F" w:rsidRPr="00A66428" w:rsidRDefault="002A7C7F" w:rsidP="002A7C7F">
            <w:pPr>
              <w:pStyle w:val="Nessunaspaziatura"/>
              <w:cnfStyle w:val="000000000000"/>
              <w:rPr>
                <w:rStyle w:val="notranslate"/>
              </w:rPr>
            </w:pPr>
            <w:r w:rsidRPr="00A66428">
              <w:t xml:space="preserve">This fund includes innovation theme ‘5C: Process’, ‘10B: Biorefinery’, and ‘11B: Conversion technologies’, that include as top sectors </w:t>
            </w:r>
            <w:r w:rsidRPr="00A66428">
              <w:rPr>
                <w:lang/>
              </w:rPr>
              <w:t xml:space="preserve">processes for unlocking, processing, separation and purification of bio-based raw materials including seaweed and micro-algae as well as products for the food, pharmaceutical and chemical industries. </w:t>
            </w:r>
          </w:p>
        </w:tc>
        <w:tc>
          <w:tcPr>
            <w:tcW w:w="0" w:type="auto"/>
          </w:tcPr>
          <w:p w:rsidR="002A7C7F" w:rsidRPr="00A66428" w:rsidRDefault="002A7C7F" w:rsidP="002A7C7F">
            <w:pPr>
              <w:pStyle w:val="Nessunaspaziatura"/>
              <w:cnfStyle w:val="000000000000"/>
            </w:pPr>
            <w:r w:rsidRPr="00A66428">
              <w:t xml:space="preserve">The subsidy amounts to 40% of eligible costs, the maximum grant €50,000 per feasibility study. Only the costs of SME entrepreneurs are eligible. The term of a feasibility study is a maximum of one year. </w:t>
            </w:r>
          </w:p>
          <w:p w:rsidR="002A7C7F" w:rsidRPr="00A66428" w:rsidRDefault="002A7C7F" w:rsidP="002A7C7F">
            <w:pPr>
              <w:pStyle w:val="Nessunaspaziatura"/>
              <w:cnfStyle w:val="000000000000"/>
            </w:pPr>
          </w:p>
        </w:tc>
      </w:tr>
      <w:tr w:rsidR="002A7C7F" w:rsidRPr="00A66428" w:rsidTr="00390D4C">
        <w:trPr>
          <w:cantSplit/>
          <w:trHeight w:val="64"/>
        </w:trPr>
        <w:tc>
          <w:tcPr>
            <w:cnfStyle w:val="001000000000"/>
            <w:tcW w:w="0" w:type="auto"/>
          </w:tcPr>
          <w:p w:rsidR="002A7C7F" w:rsidRPr="00A66428" w:rsidRDefault="002A7C7F" w:rsidP="002A7C7F">
            <w:pPr>
              <w:pStyle w:val="Nessunaspaziatura"/>
            </w:pPr>
            <w:r w:rsidRPr="00A66428">
              <w:t>MIT Scheme Top Sectors Chemicals and Energy incl. Theme Biobased - Topsector energie</w:t>
            </w:r>
            <w:r w:rsidRPr="00A66428">
              <w:rPr>
                <w:rStyle w:val="Rimandonotaapidipagina"/>
              </w:rPr>
              <w:footnoteReference w:id="25"/>
            </w:r>
            <w:r w:rsidRPr="00A66428">
              <w:t xml:space="preserve">, </w:t>
            </w:r>
            <w:r w:rsidRPr="00A66428">
              <w:rPr>
                <w:rStyle w:val="Rimandonotaapidipagina"/>
              </w:rPr>
              <w:footnoteReference w:id="26"/>
            </w:r>
            <w:r w:rsidRPr="00A66428">
              <w:t xml:space="preserve"> 2014</w:t>
            </w:r>
          </w:p>
          <w:p w:rsidR="002A7C7F" w:rsidRPr="00A66428" w:rsidRDefault="002A7C7F" w:rsidP="002A7C7F">
            <w:pPr>
              <w:pStyle w:val="Nessunaspaziatura"/>
              <w:rPr>
                <w:b w:val="0"/>
                <w:bCs w:val="0"/>
              </w:rPr>
            </w:pPr>
          </w:p>
        </w:tc>
        <w:tc>
          <w:tcPr>
            <w:tcW w:w="0" w:type="auto"/>
          </w:tcPr>
          <w:p w:rsidR="002A7C7F" w:rsidRPr="00A66428" w:rsidRDefault="002A7C7F" w:rsidP="002A7C7F">
            <w:pPr>
              <w:pStyle w:val="Nessunaspaziatura"/>
              <w:cnfStyle w:val="000000000000"/>
            </w:pPr>
            <w:r w:rsidRPr="00A66428">
              <w:t>MIT R&amp;D collaboration is focused on the innovation of products, processes or services and is directed to SMEs.</w:t>
            </w:r>
          </w:p>
        </w:tc>
        <w:tc>
          <w:tcPr>
            <w:tcW w:w="0" w:type="auto"/>
          </w:tcPr>
          <w:p w:rsidR="002A7C7F" w:rsidRPr="00A66428" w:rsidRDefault="002A7C7F" w:rsidP="002A7C7F">
            <w:pPr>
              <w:pStyle w:val="Nessunaspaziatura"/>
              <w:cnfStyle w:val="000000000000"/>
            </w:pPr>
            <w:r w:rsidRPr="00A66428">
              <w:t xml:space="preserve">An SME can apply for R&amp;D collaboration. </w:t>
            </w:r>
          </w:p>
          <w:p w:rsidR="002A7C7F" w:rsidRPr="00A66428" w:rsidRDefault="002A7C7F" w:rsidP="002A7C7F">
            <w:pPr>
              <w:pStyle w:val="Nessunaspaziatura"/>
              <w:cnfStyle w:val="000000000000"/>
            </w:pPr>
            <w:r w:rsidRPr="00A66428">
              <w:t xml:space="preserve">The project consists of industrial research and/or experimental development, joint account and risk undertaken by a partnership of at least two Dutch SME entrepreneurs. </w:t>
            </w:r>
          </w:p>
          <w:p w:rsidR="002A7C7F" w:rsidRPr="00A66428" w:rsidRDefault="002A7C7F" w:rsidP="002A7C7F">
            <w:pPr>
              <w:pStyle w:val="Nessunaspaziatura"/>
              <w:cnfStyle w:val="000000000000"/>
            </w:pPr>
            <w:r w:rsidRPr="00A66428">
              <w:t xml:space="preserve">The MIT R&amp;D cooperation projects in 2014 </w:t>
            </w:r>
            <w:r w:rsidR="00FB2865" w:rsidRPr="00A66428">
              <w:t>were given</w:t>
            </w:r>
            <w:r w:rsidRPr="00A66428">
              <w:t xml:space="preserve"> under a tender system. </w:t>
            </w:r>
            <w:r w:rsidR="00FB2865" w:rsidRPr="00A66428">
              <w:t xml:space="preserve">This means that received applications are </w:t>
            </w:r>
            <w:r w:rsidRPr="00A66428">
              <w:t>rank</w:t>
            </w:r>
            <w:r w:rsidR="00FB2865" w:rsidRPr="00A66428">
              <w:t xml:space="preserve">ed </w:t>
            </w:r>
            <w:r w:rsidRPr="00A66428">
              <w:t xml:space="preserve">on the basis of an assessment of tender criteria. The tender criteria listed on this page. </w:t>
            </w:r>
          </w:p>
          <w:p w:rsidR="002A7C7F" w:rsidRPr="00A66428" w:rsidRDefault="002A7C7F" w:rsidP="009648F9">
            <w:pPr>
              <w:pStyle w:val="Nessunaspaziatura"/>
              <w:cnfStyle w:val="000000000000"/>
              <w:rPr>
                <w:rStyle w:val="notranslate"/>
              </w:rPr>
            </w:pPr>
            <w:r w:rsidRPr="00A66428">
              <w:t>This fund includes innovation theme</w:t>
            </w:r>
            <w:r w:rsidR="009648F9" w:rsidRPr="00A66428">
              <w:t>s</w:t>
            </w:r>
            <w:r w:rsidRPr="00A66428">
              <w:t xml:space="preserve"> ‘5C: Process’, ‘10B: Biorefinery’, and ‘11B: Conversion technologies’, that include </w:t>
            </w:r>
            <w:r w:rsidRPr="00A66428">
              <w:rPr>
                <w:lang/>
              </w:rPr>
              <w:t xml:space="preserve">processes for </w:t>
            </w:r>
            <w:r w:rsidR="009648F9" w:rsidRPr="00A66428">
              <w:rPr>
                <w:lang/>
              </w:rPr>
              <w:t xml:space="preserve">biorefining </w:t>
            </w:r>
            <w:r w:rsidRPr="00A66428">
              <w:rPr>
                <w:lang/>
              </w:rPr>
              <w:t xml:space="preserve">bio-based raw materials including seaweed and micro-algae </w:t>
            </w:r>
            <w:r w:rsidR="009648F9" w:rsidRPr="00A66428">
              <w:rPr>
                <w:lang/>
              </w:rPr>
              <w:t xml:space="preserve">for </w:t>
            </w:r>
            <w:r w:rsidRPr="00A66428">
              <w:rPr>
                <w:lang/>
              </w:rPr>
              <w:t>food, pharmaceutical and chemical industries.</w:t>
            </w:r>
          </w:p>
        </w:tc>
        <w:tc>
          <w:tcPr>
            <w:tcW w:w="0" w:type="auto"/>
          </w:tcPr>
          <w:p w:rsidR="002A7C7F" w:rsidRPr="00A66428" w:rsidRDefault="002A7C7F" w:rsidP="002A7C7F">
            <w:pPr>
              <w:pStyle w:val="Nessunaspaziatura"/>
              <w:cnfStyle w:val="000000000000"/>
            </w:pPr>
            <w:r w:rsidRPr="00A66428">
              <w:t>The subsidy amounts to 30% of eligible costs (maximum €200,000) per innovation and a maximum of €100,000 per participant. Only the costs of the SME entrepreneurs are eligible. The term of a</w:t>
            </w:r>
            <w:r w:rsidR="00B638E2" w:rsidRPr="00A66428">
              <w:t>n</w:t>
            </w:r>
            <w:r w:rsidRPr="00A66428">
              <w:t xml:space="preserve"> MIT R&amp;D collaboration is 2 years.</w:t>
            </w:r>
          </w:p>
          <w:p w:rsidR="002A7C7F" w:rsidRPr="00A66428" w:rsidRDefault="002A7C7F" w:rsidP="00306BCE">
            <w:pPr>
              <w:pStyle w:val="Nessunaspaziatura"/>
              <w:cnfStyle w:val="000000000000"/>
            </w:pPr>
            <w:r w:rsidRPr="00A66428">
              <w:t>The overall budget for 2014 is €8 million.</w:t>
            </w:r>
            <w:r w:rsidR="00306BCE" w:rsidRPr="00A66428">
              <w:t xml:space="preserve"> R</w:t>
            </w:r>
            <w:r w:rsidRPr="00A66428">
              <w:t>&amp;D budget is divided into: General €8,000,000; Agri &amp; Food €1,913,600; Water €897,100; Chemistry €1,216,500; Biobased €1,350,000; Energy €500,000.</w:t>
            </w:r>
          </w:p>
        </w:tc>
      </w:tr>
    </w:tbl>
    <w:p w:rsidR="00F1143F" w:rsidRPr="00A66428" w:rsidRDefault="00F1143F" w:rsidP="00F1143F"/>
    <w:p w:rsidR="00523133" w:rsidRPr="00A66428" w:rsidRDefault="005D575C" w:rsidP="00801B8C">
      <w:pPr>
        <w:pStyle w:val="Titolo1"/>
        <w:rPr>
          <w:rFonts w:eastAsiaTheme="majorEastAsia"/>
        </w:rPr>
      </w:pPr>
      <w:r w:rsidRPr="00A66428">
        <w:rPr>
          <w:rFonts w:eastAsiaTheme="majorEastAsia"/>
        </w:rPr>
        <w:t>Biofuels</w:t>
      </w:r>
    </w:p>
    <w:tbl>
      <w:tblPr>
        <w:tblStyle w:val="Sfondomedio1-Colore2"/>
        <w:tblpPr w:leftFromText="181" w:rightFromText="181" w:vertAnchor="text" w:horzAnchor="margin" w:tblpY="1"/>
        <w:tblW w:w="0" w:type="auto"/>
        <w:tblLook w:val="06A0"/>
      </w:tblPr>
      <w:tblGrid>
        <w:gridCol w:w="2898"/>
        <w:gridCol w:w="1729"/>
        <w:gridCol w:w="5884"/>
        <w:gridCol w:w="3663"/>
      </w:tblGrid>
      <w:tr w:rsidR="005D575C" w:rsidRPr="00A66428" w:rsidTr="006F6E05">
        <w:trPr>
          <w:cnfStyle w:val="100000000000"/>
          <w:cantSplit/>
        </w:trPr>
        <w:tc>
          <w:tcPr>
            <w:cnfStyle w:val="001000000000"/>
            <w:tcW w:w="0" w:type="auto"/>
          </w:tcPr>
          <w:p w:rsidR="005D575C" w:rsidRPr="00A66428" w:rsidRDefault="005D575C" w:rsidP="006F6E05">
            <w:pPr>
              <w:pStyle w:val="Nessunaspaziatura"/>
            </w:pPr>
            <w:r w:rsidRPr="00A66428">
              <w:t xml:space="preserve">Policy </w:t>
            </w:r>
          </w:p>
        </w:tc>
        <w:tc>
          <w:tcPr>
            <w:tcW w:w="0" w:type="auto"/>
          </w:tcPr>
          <w:p w:rsidR="005D575C" w:rsidRPr="00A66428" w:rsidRDefault="005D575C" w:rsidP="006F6E05">
            <w:pPr>
              <w:pStyle w:val="Nessunaspaziatura"/>
              <w:cnfStyle w:val="100000000000"/>
            </w:pPr>
            <w:r w:rsidRPr="00A66428">
              <w:t>Ambitions</w:t>
            </w:r>
          </w:p>
        </w:tc>
        <w:tc>
          <w:tcPr>
            <w:tcW w:w="0" w:type="auto"/>
          </w:tcPr>
          <w:p w:rsidR="005D575C" w:rsidRPr="00A66428" w:rsidRDefault="005D575C" w:rsidP="006F6E05">
            <w:pPr>
              <w:pStyle w:val="Nessunaspaziatura"/>
              <w:cnfStyle w:val="100000000000"/>
            </w:pPr>
            <w:r w:rsidRPr="00A66428">
              <w:t>Policy Measures</w:t>
            </w:r>
          </w:p>
        </w:tc>
        <w:tc>
          <w:tcPr>
            <w:tcW w:w="0" w:type="auto"/>
          </w:tcPr>
          <w:p w:rsidR="005D575C" w:rsidRPr="00A66428" w:rsidRDefault="005D575C" w:rsidP="006F6E05">
            <w:pPr>
              <w:pStyle w:val="Nessunaspaziatura"/>
              <w:cnfStyle w:val="100000000000"/>
            </w:pPr>
            <w:r w:rsidRPr="00A66428">
              <w:t>Financial Incentives</w:t>
            </w:r>
          </w:p>
        </w:tc>
      </w:tr>
      <w:tr w:rsidR="005D575C" w:rsidRPr="00A66428" w:rsidTr="006F6E05">
        <w:trPr>
          <w:cantSplit/>
          <w:trHeight w:val="64"/>
        </w:trPr>
        <w:tc>
          <w:tcPr>
            <w:cnfStyle w:val="001000000000"/>
            <w:tcW w:w="0" w:type="auto"/>
          </w:tcPr>
          <w:p w:rsidR="005D575C" w:rsidRPr="00A66428" w:rsidRDefault="005C0F60" w:rsidP="006F6E05">
            <w:pPr>
              <w:pStyle w:val="Nessunaspaziatura"/>
            </w:pPr>
            <w:r w:rsidRPr="00A66428">
              <w:t>Transport biofuels act -</w:t>
            </w:r>
            <w:r w:rsidR="005D575C" w:rsidRPr="00A66428">
              <w:t>Nederlands Beleid Biobrandstoffen. (Dutch National Biofuels Policy)</w:t>
            </w:r>
            <w:r w:rsidR="005D575C" w:rsidRPr="00A66428">
              <w:rPr>
                <w:vertAlign w:val="superscript"/>
              </w:rPr>
              <w:footnoteReference w:id="27"/>
            </w:r>
            <w:r w:rsidR="00EA4688" w:rsidRPr="00A66428">
              <w:t xml:space="preserve"> 2011</w:t>
            </w:r>
          </w:p>
        </w:tc>
        <w:tc>
          <w:tcPr>
            <w:tcW w:w="0" w:type="auto"/>
          </w:tcPr>
          <w:p w:rsidR="005D575C" w:rsidRPr="00A66428" w:rsidRDefault="005D575C" w:rsidP="006F6E05">
            <w:pPr>
              <w:pStyle w:val="Nessunaspaziatura"/>
              <w:cnfStyle w:val="000000000000"/>
            </w:pPr>
            <w:r w:rsidRPr="00A66428">
              <w:t>Increase the amount of renewable fuels in transport.</w:t>
            </w:r>
          </w:p>
        </w:tc>
        <w:tc>
          <w:tcPr>
            <w:tcW w:w="0" w:type="auto"/>
          </w:tcPr>
          <w:p w:rsidR="005C0F60" w:rsidRPr="00A66428" w:rsidRDefault="005C0F60" w:rsidP="006F6E05">
            <w:pPr>
              <w:pStyle w:val="Nessunaspaziatura"/>
              <w:cnfStyle w:val="000000000000"/>
            </w:pPr>
            <w:r w:rsidRPr="00A66428">
              <w:t>Obligation of a certain percenta</w:t>
            </w:r>
            <w:r w:rsidR="0071536A" w:rsidRPr="00A66428">
              <w:t>ge of biofuels in the fuel mix</w:t>
            </w:r>
            <w:r w:rsidR="005D575C" w:rsidRPr="00A66428">
              <w:t xml:space="preserve"> in accordance with the targets set by the EU Renewable Energy Directive – 10% by 2020. </w:t>
            </w:r>
          </w:p>
          <w:p w:rsidR="005D575C" w:rsidRPr="00A66428" w:rsidRDefault="005D575C" w:rsidP="006F6E05">
            <w:pPr>
              <w:pStyle w:val="Nessunaspaziatura"/>
              <w:cnfStyle w:val="000000000000"/>
            </w:pPr>
            <w:r w:rsidRPr="00A66428">
              <w:t>Interim targets have been set at 4.5% in 2012, 5.0% in 2013 and 5.5% in 2014, although there are proposals to amend these targets to 5.25% by 2012, 6.25% by 2013, 7.5% by 2014, 8.75% by 2015 and 10% 2016-2020 inclusive</w:t>
            </w:r>
            <w:r w:rsidRPr="00A66428">
              <w:rPr>
                <w:vertAlign w:val="superscript"/>
              </w:rPr>
              <w:footnoteReference w:id="28"/>
            </w:r>
            <w:r w:rsidRPr="00A66428">
              <w:rPr>
                <w:vertAlign w:val="superscript"/>
              </w:rPr>
              <w:t>.</w:t>
            </w:r>
            <w:r w:rsidRPr="00A66428">
              <w:t xml:space="preserve"> Biofuels must meet EU sustainability requirements as stipulated under the EU RED.  </w:t>
            </w:r>
          </w:p>
        </w:tc>
        <w:tc>
          <w:tcPr>
            <w:tcW w:w="0" w:type="auto"/>
          </w:tcPr>
          <w:p w:rsidR="005D575C" w:rsidRPr="00A66428" w:rsidRDefault="005D575C" w:rsidP="006F6E05">
            <w:pPr>
              <w:pStyle w:val="Nessunaspaziatura"/>
              <w:cnfStyle w:val="000000000000"/>
            </w:pPr>
            <w:r w:rsidRPr="00A66428">
              <w:t xml:space="preserve">Companies meeting their biofuel targets can trade biofuel tickets with companies which have not met their obligation. The value of biotickets is based upon supply and demand. </w:t>
            </w:r>
          </w:p>
          <w:p w:rsidR="005D575C" w:rsidRPr="00A66428" w:rsidRDefault="005D575C" w:rsidP="006F6E05">
            <w:pPr>
              <w:pStyle w:val="Nessunaspaziatura"/>
              <w:cnfStyle w:val="000000000000"/>
            </w:pPr>
          </w:p>
        </w:tc>
      </w:tr>
    </w:tbl>
    <w:p w:rsidR="00982C8E" w:rsidRPr="00A66428" w:rsidRDefault="00982C8E" w:rsidP="00982C8E">
      <w:pPr>
        <w:rPr>
          <w:rFonts w:eastAsiaTheme="majorEastAsia"/>
        </w:rPr>
      </w:pPr>
    </w:p>
    <w:p w:rsidR="00982C8E" w:rsidRPr="00A66428" w:rsidRDefault="00982C8E" w:rsidP="00982C8E">
      <w:pPr>
        <w:pStyle w:val="Titolo1"/>
        <w:rPr>
          <w:rFonts w:eastAsiaTheme="majorEastAsia"/>
        </w:rPr>
      </w:pPr>
      <w:r w:rsidRPr="00A66428">
        <w:rPr>
          <w:rFonts w:eastAsiaTheme="majorEastAsia"/>
        </w:rPr>
        <w:t>Water, wastewater &amp; Aquaculture</w:t>
      </w:r>
    </w:p>
    <w:tbl>
      <w:tblPr>
        <w:tblStyle w:val="Sfondomedio1-Colore2"/>
        <w:tblW w:w="0" w:type="auto"/>
        <w:tblLook w:val="06A0"/>
      </w:tblPr>
      <w:tblGrid>
        <w:gridCol w:w="2541"/>
        <w:gridCol w:w="11633"/>
      </w:tblGrid>
      <w:tr w:rsidR="00982C8E" w:rsidRPr="00A66428" w:rsidTr="00875C89">
        <w:trPr>
          <w:cnfStyle w:val="100000000000"/>
        </w:trPr>
        <w:tc>
          <w:tcPr>
            <w:cnfStyle w:val="001000000000"/>
            <w:tcW w:w="0" w:type="auto"/>
          </w:tcPr>
          <w:p w:rsidR="00982C8E" w:rsidRPr="00A66428" w:rsidRDefault="00982C8E" w:rsidP="00875C89">
            <w:pPr>
              <w:pStyle w:val="Nessunaspaziatura"/>
              <w:rPr>
                <w:b w:val="0"/>
              </w:rPr>
            </w:pPr>
            <w:r w:rsidRPr="00A66428">
              <w:t>Policy</w:t>
            </w:r>
          </w:p>
        </w:tc>
        <w:tc>
          <w:tcPr>
            <w:tcW w:w="0" w:type="auto"/>
          </w:tcPr>
          <w:p w:rsidR="00982C8E" w:rsidRPr="00A66428" w:rsidRDefault="00982C8E" w:rsidP="00875C89">
            <w:pPr>
              <w:pStyle w:val="Nessunaspaziatura"/>
              <w:cnfStyle w:val="100000000000"/>
              <w:rPr>
                <w:b w:val="0"/>
              </w:rPr>
            </w:pPr>
            <w:r w:rsidRPr="00A66428">
              <w:t>Key Measures/Aims</w:t>
            </w:r>
          </w:p>
        </w:tc>
      </w:tr>
      <w:tr w:rsidR="00982C8E" w:rsidRPr="00A66428" w:rsidTr="00875C89">
        <w:tc>
          <w:tcPr>
            <w:cnfStyle w:val="001000000000"/>
            <w:tcW w:w="0" w:type="auto"/>
          </w:tcPr>
          <w:p w:rsidR="00982C8E" w:rsidRPr="00A66428" w:rsidRDefault="00982C8E" w:rsidP="00875C89">
            <w:pPr>
              <w:pStyle w:val="Nessunaspaziatura"/>
            </w:pPr>
            <w:r w:rsidRPr="00A66428">
              <w:rPr>
                <w:rStyle w:val="normalbold"/>
              </w:rPr>
              <w:t>Policy Note on Aquaculture</w:t>
            </w:r>
            <w:r w:rsidRPr="00A66428">
              <w:t xml:space="preserve"> (2001) - </w:t>
            </w:r>
            <w:r w:rsidRPr="00A66428">
              <w:rPr>
                <w:rStyle w:val="normalitalic"/>
              </w:rPr>
              <w:t>Beleidsnota Viskweek</w:t>
            </w:r>
          </w:p>
        </w:tc>
        <w:tc>
          <w:tcPr>
            <w:tcW w:w="0" w:type="auto"/>
          </w:tcPr>
          <w:p w:rsidR="00982C8E" w:rsidRPr="00A66428" w:rsidRDefault="00982C8E" w:rsidP="00875C89">
            <w:pPr>
              <w:pStyle w:val="Nessunaspaziatura"/>
              <w:cnfStyle w:val="000000000000"/>
            </w:pPr>
            <w:r w:rsidRPr="00A66428">
              <w:t>Contains the Fish Product Board’s view (</w:t>
            </w:r>
            <w:r w:rsidRPr="00A66428">
              <w:rPr>
                <w:rStyle w:val="normalitalic"/>
              </w:rPr>
              <w:t>Produktschap Vis</w:t>
            </w:r>
            <w:r w:rsidRPr="00A66428">
              <w:t>) on the development of the Dutch aquaculture sector.</w:t>
            </w:r>
          </w:p>
        </w:tc>
      </w:tr>
      <w:tr w:rsidR="00982C8E" w:rsidRPr="00A66428" w:rsidTr="00875C89">
        <w:trPr>
          <w:trHeight w:val="64"/>
        </w:trPr>
        <w:tc>
          <w:tcPr>
            <w:cnfStyle w:val="001000000000"/>
            <w:tcW w:w="0" w:type="auto"/>
          </w:tcPr>
          <w:p w:rsidR="00982C8E" w:rsidRPr="00A66428" w:rsidRDefault="00982C8E" w:rsidP="00875C89">
            <w:pPr>
              <w:pStyle w:val="Nessunaspaziatura"/>
            </w:pPr>
            <w:r w:rsidRPr="00A66428">
              <w:t xml:space="preserve">Water Act (2009) - Waterwet </w:t>
            </w:r>
            <w:r w:rsidRPr="00A66428">
              <w:rPr>
                <w:rStyle w:val="Rimandonotaapidipagina"/>
              </w:rPr>
              <w:footnoteReference w:id="29"/>
            </w:r>
          </w:p>
        </w:tc>
        <w:tc>
          <w:tcPr>
            <w:tcW w:w="0" w:type="auto"/>
          </w:tcPr>
          <w:p w:rsidR="00982C8E" w:rsidRPr="00A66428" w:rsidRDefault="00982C8E" w:rsidP="00875C89">
            <w:pPr>
              <w:pStyle w:val="Nessunaspaziatura"/>
              <w:cnfStyle w:val="000000000000"/>
              <w:rPr>
                <w:rFonts w:cs="MinionPro-Medium"/>
                <w:lang w:val="en-US"/>
              </w:rPr>
            </w:pPr>
            <w:r w:rsidRPr="00A66428">
              <w:rPr>
                <w:rFonts w:cs="MinionPro-Medium"/>
                <w:lang w:val="en-US"/>
              </w:rPr>
              <w:t>The Water Ac</w:t>
            </w:r>
            <w:r w:rsidR="00B638E2" w:rsidRPr="00A66428">
              <w:rPr>
                <w:rFonts w:cs="MinionPro-Medium"/>
                <w:lang w:val="en-US"/>
              </w:rPr>
              <w:t>t</w:t>
            </w:r>
            <w:r w:rsidRPr="00A66428">
              <w:rPr>
                <w:rFonts w:cs="MinionPro-Medium"/>
                <w:lang w:val="en-US"/>
              </w:rPr>
              <w:t xml:space="preserve"> integrates the following eight existing water management statutes: Water Management Act; Surface Waters Pollution Act; Marine Waters Pollution Act; Groundwater Act; Public Works Management Act (sections relating to waterways); Public Works Act 1900 (sections relating to waterways).</w:t>
            </w:r>
          </w:p>
          <w:p w:rsidR="00982C8E" w:rsidRPr="00A66428" w:rsidRDefault="00982C8E" w:rsidP="00875C89">
            <w:pPr>
              <w:pStyle w:val="Nessunaspaziatura"/>
              <w:cnfStyle w:val="000000000000"/>
              <w:rPr>
                <w:rFonts w:cs="MinionPro-Medium"/>
                <w:sz w:val="22"/>
                <w:szCs w:val="22"/>
                <w:lang w:val="en-US"/>
              </w:rPr>
            </w:pPr>
            <w:r w:rsidRPr="00A66428">
              <w:rPr>
                <w:rFonts w:cs="MinionPro-Medium"/>
                <w:lang w:val="en-US"/>
              </w:rPr>
              <w:t>Furthermore, sections from the Soil Protection Act relating to waterbeds are incorporated into the Water Act.</w:t>
            </w:r>
          </w:p>
        </w:tc>
      </w:tr>
      <w:tr w:rsidR="001F4C58" w:rsidRPr="00A03041" w:rsidTr="00875C89">
        <w:trPr>
          <w:trHeight w:val="64"/>
        </w:trPr>
        <w:tc>
          <w:tcPr>
            <w:cnfStyle w:val="001000000000"/>
            <w:tcW w:w="0" w:type="auto"/>
          </w:tcPr>
          <w:p w:rsidR="001F4C58" w:rsidRPr="00A66428" w:rsidRDefault="001F4C58" w:rsidP="001F4C58">
            <w:pPr>
              <w:pStyle w:val="Nessunaspaziatura"/>
            </w:pPr>
            <w:r w:rsidRPr="00A66428">
              <w:t>SBIR</w:t>
            </w:r>
            <w:r w:rsidR="00B97CA0" w:rsidRPr="00A66428">
              <w:rPr>
                <w:rStyle w:val="Rimandonotaapidipagina"/>
              </w:rPr>
              <w:footnoteReference w:id="30"/>
            </w:r>
            <w:r w:rsidR="00B97CA0" w:rsidRPr="00A66428">
              <w:t xml:space="preserve"> -</w:t>
            </w:r>
            <w:r w:rsidRPr="00A66428">
              <w:t xml:space="preserve"> Cultivation of seaweeds and harvesting</w:t>
            </w:r>
            <w:r w:rsidR="00B97CA0" w:rsidRPr="00A66428">
              <w:t xml:space="preserve"> 2009-2013</w:t>
            </w:r>
            <w:r w:rsidR="00B97CA0" w:rsidRPr="00A66428">
              <w:rPr>
                <w:rStyle w:val="Rimandonotaapidipagina"/>
              </w:rPr>
              <w:footnoteReference w:id="31"/>
            </w:r>
          </w:p>
          <w:p w:rsidR="001F4C58" w:rsidRPr="00A66428" w:rsidRDefault="001F4C58" w:rsidP="00875C89">
            <w:pPr>
              <w:pStyle w:val="Nessunaspaziatura"/>
            </w:pPr>
          </w:p>
        </w:tc>
        <w:tc>
          <w:tcPr>
            <w:tcW w:w="0" w:type="auto"/>
          </w:tcPr>
          <w:p w:rsidR="001F4C58" w:rsidRPr="00A66428" w:rsidRDefault="001F4C58" w:rsidP="001F4C58">
            <w:pPr>
              <w:pStyle w:val="Nessunaspaziatura"/>
              <w:cnfStyle w:val="000000000000"/>
              <w:rPr>
                <w:rFonts w:cs="MinionPro-Medium"/>
              </w:rPr>
            </w:pPr>
            <w:r w:rsidRPr="00A66428">
              <w:rPr>
                <w:rFonts w:cs="MinionPro-Medium"/>
              </w:rPr>
              <w:t>Under SBIR, contracts are awarded in a three-phase competition: feasibility, research phase and commercialisation. A unique feature is that the contracting authority fully funds the first 2 phases, and the resulting intellectual property remains with the company. In 2009 the Dutch Ministry of Economic Affairs funded a project for cultivation of seaweeds and harvesting by €1.32 million. Phase 1 lasted 2009-2012 and phase 2 in 2012-2013.</w:t>
            </w:r>
          </w:p>
          <w:p w:rsidR="001F4C58" w:rsidRPr="00A03041" w:rsidRDefault="001F4C58" w:rsidP="001F4C58">
            <w:pPr>
              <w:pStyle w:val="Nessunaspaziatura"/>
              <w:cnfStyle w:val="000000000000"/>
              <w:rPr>
                <w:rFonts w:cs="MinionPro-Medium"/>
                <w:lang w:val="en-US"/>
              </w:rPr>
            </w:pPr>
            <w:r w:rsidRPr="00A66428">
              <w:rPr>
                <w:rFonts w:cs="MinionPro-Medium"/>
              </w:rPr>
              <w:t>The project was about developing systems for cultivation and harvesting seaweeds, with the aim of the seaweeds to work as a source of renewable raw material.</w:t>
            </w:r>
          </w:p>
        </w:tc>
      </w:tr>
    </w:tbl>
    <w:p w:rsidR="00982C8E" w:rsidRDefault="00982C8E" w:rsidP="00982C8E">
      <w:pPr>
        <w:rPr>
          <w:rFonts w:eastAsiaTheme="majorEastAsia" w:cstheme="majorBidi"/>
          <w:b/>
          <w:bCs/>
          <w:color w:val="365F91" w:themeColor="accent1" w:themeShade="BF"/>
        </w:rPr>
      </w:pPr>
    </w:p>
    <w:sectPr w:rsidR="00982C8E" w:rsidSect="005D575C">
      <w:pgSz w:w="16838" w:h="11906" w:orient="landscape"/>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6132" w:rsidRDefault="006F6132" w:rsidP="005D575C">
      <w:pPr>
        <w:spacing w:after="0" w:line="240" w:lineRule="auto"/>
      </w:pPr>
      <w:r>
        <w:separator/>
      </w:r>
    </w:p>
  </w:endnote>
  <w:endnote w:type="continuationSeparator" w:id="1">
    <w:p w:rsidR="006F6132" w:rsidRDefault="006F6132" w:rsidP="005D57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EgyptienneF-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RijksoverheidSerif-Regular">
    <w:panose1 w:val="00000000000000000000"/>
    <w:charset w:val="00"/>
    <w:family w:val="roman"/>
    <w:notTrueType/>
    <w:pitch w:val="default"/>
    <w:sig w:usb0="00000003" w:usb1="00000000" w:usb2="00000000" w:usb3="00000000" w:csb0="00000001" w:csb1="00000000"/>
  </w:font>
  <w:font w:name="TTE1BEBDE8t00">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calaSansOT-Regular">
    <w:panose1 w:val="00000000000000000000"/>
    <w:charset w:val="00"/>
    <w:family w:val="swiss"/>
    <w:notTrueType/>
    <w:pitch w:val="default"/>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ScalaSansOT-Italic">
    <w:panose1 w:val="00000000000000000000"/>
    <w:charset w:val="00"/>
    <w:family w:val="swiss"/>
    <w:notTrueType/>
    <w:pitch w:val="default"/>
    <w:sig w:usb0="00000003" w:usb1="00000000" w:usb2="00000000" w:usb3="00000000" w:csb0="00000001" w:csb1="00000000"/>
  </w:font>
  <w:font w:name="MinionPro-Medium">
    <w:panose1 w:val="00000000000000000000"/>
    <w:charset w:val="00"/>
    <w:family w:val="roman"/>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6132" w:rsidRDefault="006F6132" w:rsidP="005D575C">
      <w:pPr>
        <w:spacing w:after="0" w:line="240" w:lineRule="auto"/>
      </w:pPr>
      <w:r>
        <w:separator/>
      </w:r>
    </w:p>
  </w:footnote>
  <w:footnote w:type="continuationSeparator" w:id="1">
    <w:p w:rsidR="006F6132" w:rsidRDefault="006F6132" w:rsidP="005D575C">
      <w:pPr>
        <w:spacing w:after="0" w:line="240" w:lineRule="auto"/>
      </w:pPr>
      <w:r>
        <w:continuationSeparator/>
      </w:r>
    </w:p>
  </w:footnote>
  <w:footnote w:id="2">
    <w:p w:rsidR="003C632B" w:rsidRDefault="003C632B" w:rsidP="003C632B">
      <w:pPr>
        <w:pStyle w:val="Testonotaapidipagina"/>
      </w:pPr>
      <w:r>
        <w:rPr>
          <w:rStyle w:val="Rimandonotaapidipagina"/>
        </w:rPr>
        <w:footnoteRef/>
      </w:r>
      <w:hyperlink r:id="rId1" w:history="1">
        <w:r w:rsidRPr="001067F1">
          <w:rPr>
            <w:rStyle w:val="Collegamentoipertestuale"/>
          </w:rPr>
          <w:t>http://www.ecofys.com/en/press/ecofys-launches-trial-module-for-seaweed-cultivation-in-offshore-wind-farm</w:t>
        </w:r>
      </w:hyperlink>
    </w:p>
  </w:footnote>
  <w:footnote w:id="3">
    <w:p w:rsidR="00CA7201" w:rsidRDefault="00CA7201" w:rsidP="00496219">
      <w:pPr>
        <w:pStyle w:val="Testonotaapidipagina"/>
      </w:pPr>
      <w:r>
        <w:rPr>
          <w:rStyle w:val="Rimandonotaapidipagina"/>
        </w:rPr>
        <w:footnoteRef/>
      </w:r>
      <w:hyperlink r:id="rId2" w:history="1">
        <w:r w:rsidRPr="0030376C">
          <w:rPr>
            <w:rStyle w:val="Collegamentoipertestuale"/>
          </w:rPr>
          <w:t>http://www.agentschapnl.nl/sites/default/files/bijlagen/Brochure%20Energy%20Innovation%20Agenda.pdf</w:t>
        </w:r>
      </w:hyperlink>
    </w:p>
  </w:footnote>
  <w:footnote w:id="4">
    <w:p w:rsidR="00CA7201" w:rsidRDefault="00D837B8" w:rsidP="009B646C">
      <w:pPr>
        <w:pStyle w:val="Testonotaapidipagina"/>
      </w:pPr>
      <w:hyperlink r:id="rId3" w:history="1">
        <w:r w:rsidR="00CA7201" w:rsidRPr="003336C0">
          <w:rPr>
            <w:rStyle w:val="Collegamentoipertestuale"/>
          </w:rPr>
          <w:t>http://www.google.co.uk/url?sa=t&amp;rct=j&amp;q=&amp;esrc=s&amp;source=web&amp;cd=1&amp;cad=rja&amp;ved=0CDEQFjAA&amp;url=http%3A%2F%2Fwww.rijksoverheid.nl%2Fbestanden%2Fdocumenten-en-publicaties%2Fbrochures%2F2010%2F11%2F25%2Fnew-energy-for-climate-policy%2F11br2007g486-2008122-154154.pdf&amp;ei=bFtyUrbMDYG50QXYzYHYDg&amp;usg=AFQjCNGY0ogPq7E_jYfZYp6fhJUt0JTkeQ&amp;sig2=Q1oP5NEdvs38sEL_AnI7qg&amp;bvm=bv.55819444,d.d2k</w:t>
        </w:r>
      </w:hyperlink>
    </w:p>
  </w:footnote>
  <w:footnote w:id="5">
    <w:p w:rsidR="00CA7201" w:rsidRDefault="00CA7201">
      <w:pPr>
        <w:pStyle w:val="Testonotaapidipagina"/>
      </w:pPr>
      <w:r>
        <w:rPr>
          <w:rStyle w:val="Rimandonotaapidipagina"/>
        </w:rPr>
        <w:footnoteRef/>
      </w:r>
      <w:hyperlink r:id="rId4" w:history="1">
        <w:r w:rsidRPr="003336C0">
          <w:rPr>
            <w:rStyle w:val="Collegamentoipertestuale"/>
          </w:rPr>
          <w:t>http://ec.europa.eu/energy/renewables/action_plan_en.htm</w:t>
        </w:r>
      </w:hyperlink>
    </w:p>
  </w:footnote>
  <w:footnote w:id="6">
    <w:p w:rsidR="00CA7201" w:rsidRDefault="00CA7201" w:rsidP="00496219">
      <w:pPr>
        <w:pStyle w:val="Testonotaapidipagina"/>
      </w:pPr>
      <w:r>
        <w:rPr>
          <w:rStyle w:val="Rimandonotaapidipagina"/>
        </w:rPr>
        <w:footnoteRef/>
      </w:r>
      <w:hyperlink r:id="rId5" w:history="1">
        <w:r w:rsidRPr="00D4084D">
          <w:rPr>
            <w:rStyle w:val="Collegamentoipertestuale"/>
          </w:rPr>
          <w:t>http://www.government.nl/issues/energy/green-deal</w:t>
        </w:r>
      </w:hyperlink>
    </w:p>
  </w:footnote>
  <w:footnote w:id="7">
    <w:p w:rsidR="00CA7201" w:rsidRDefault="00CA7201" w:rsidP="00496219">
      <w:pPr>
        <w:pStyle w:val="Testonotaapidipagina"/>
      </w:pPr>
      <w:r>
        <w:rPr>
          <w:rStyle w:val="Rimandonotaapidipagina"/>
        </w:rPr>
        <w:footnoteRef/>
      </w:r>
      <w:hyperlink r:id="rId6" w:history="1">
        <w:r w:rsidRPr="0030376C">
          <w:rPr>
            <w:rStyle w:val="Collegamentoipertestuale"/>
          </w:rPr>
          <w:t>http://www.esdn.eu/pdf/country_profiles/NL%20Attachment%203%20-%20Sustainability%20Agenda%202011.pdf</w:t>
        </w:r>
      </w:hyperlink>
    </w:p>
  </w:footnote>
  <w:footnote w:id="8">
    <w:p w:rsidR="00CA7201" w:rsidRDefault="00CA7201" w:rsidP="00496219">
      <w:pPr>
        <w:pStyle w:val="Testonotaapidipagina"/>
      </w:pPr>
      <w:r>
        <w:rPr>
          <w:rStyle w:val="Rimandonotaapidipagina"/>
        </w:rPr>
        <w:footnoteRef/>
      </w:r>
      <w:hyperlink r:id="rId7" w:history="1">
        <w:r w:rsidRPr="0030376C">
          <w:rPr>
            <w:rStyle w:val="Collegamentoipertestuale"/>
          </w:rPr>
          <w:t>http://www.rijksoverheid.nl/documenten-en-publicaties/brieven/2011/11/18/klimaatbrief-2050.html</w:t>
        </w:r>
      </w:hyperlink>
    </w:p>
  </w:footnote>
  <w:footnote w:id="9">
    <w:p w:rsidR="00CA7201" w:rsidRDefault="00CA7201">
      <w:pPr>
        <w:pStyle w:val="Testonotaapidipagina"/>
      </w:pPr>
      <w:r>
        <w:rPr>
          <w:rStyle w:val="Rimandonotaapidipagina"/>
        </w:rPr>
        <w:footnoteRef/>
      </w:r>
      <w:hyperlink r:id="rId8" w:history="1">
        <w:r w:rsidRPr="003336C0">
          <w:rPr>
            <w:rStyle w:val="Collegamentoipertestuale"/>
          </w:rPr>
          <w:t>http://www.pbl.nl/en/publications/2010/Netherlands-in-the-Future-Second-Sustainability-Outlook</w:t>
        </w:r>
      </w:hyperlink>
    </w:p>
  </w:footnote>
  <w:footnote w:id="10">
    <w:p w:rsidR="00CA7201" w:rsidRDefault="00CA7201">
      <w:pPr>
        <w:pStyle w:val="Testonotaapidipagina"/>
      </w:pPr>
      <w:r>
        <w:rPr>
          <w:rStyle w:val="Rimandonotaapidipagina"/>
        </w:rPr>
        <w:footnoteRef/>
      </w:r>
      <w:hyperlink r:id="rId9" w:history="1">
        <w:r w:rsidRPr="003336C0">
          <w:rPr>
            <w:rStyle w:val="Collegamentoipertestuale"/>
          </w:rPr>
          <w:t>http://iepd.iipnetwork.org/node/370</w:t>
        </w:r>
      </w:hyperlink>
    </w:p>
  </w:footnote>
  <w:footnote w:id="11">
    <w:p w:rsidR="00CA7201" w:rsidRDefault="00CA7201" w:rsidP="00496219">
      <w:pPr>
        <w:pStyle w:val="Testonotaapidipagina"/>
      </w:pPr>
      <w:r>
        <w:rPr>
          <w:rStyle w:val="Rimandonotaapidipagina"/>
        </w:rPr>
        <w:footnoteRef/>
      </w:r>
      <w:hyperlink r:id="rId10" w:history="1">
        <w:r w:rsidRPr="0030376C">
          <w:rPr>
            <w:rStyle w:val="Collegamentoipertestuale"/>
          </w:rPr>
          <w:t>http://www.energieakkoordser.nl/</w:t>
        </w:r>
      </w:hyperlink>
    </w:p>
    <w:p w:rsidR="00CA7201" w:rsidRDefault="00D837B8" w:rsidP="00496219">
      <w:pPr>
        <w:pStyle w:val="Testonotaapidipagina"/>
      </w:pPr>
      <w:hyperlink r:id="rId11" w:history="1">
        <w:r w:rsidR="00CA7201" w:rsidRPr="0030376C">
          <w:rPr>
            <w:rStyle w:val="Collegamentoipertestuale"/>
          </w:rPr>
          <w:t>http://content1b.omroep.nl/urishieldv2/l27m4c1939ea2d8d0599005271191f000000.5611bc80f2a72ed729f02c450f936e31/nos/docs/270813_energieakkoord.pdf</w:t>
        </w:r>
      </w:hyperlink>
    </w:p>
  </w:footnote>
  <w:footnote w:id="12">
    <w:p w:rsidR="005E0DFD" w:rsidRDefault="005E0DFD">
      <w:pPr>
        <w:pStyle w:val="Testonotaapidipagina"/>
      </w:pPr>
      <w:r>
        <w:rPr>
          <w:rStyle w:val="Rimandonotaapidipagina"/>
        </w:rPr>
        <w:footnoteRef/>
      </w:r>
      <w:hyperlink r:id="rId12" w:history="1">
        <w:r w:rsidRPr="00F3692B">
          <w:rPr>
            <w:rStyle w:val="Collegamentoipertestuale"/>
          </w:rPr>
          <w:t>http://www.government.nl/issues/environment/documents-and-publications/reports/2014/09/24/climate-agenda-resilient-prosperous-and-green-summary.html</w:t>
        </w:r>
      </w:hyperlink>
    </w:p>
  </w:footnote>
  <w:footnote w:id="13">
    <w:p w:rsidR="00EB50DD" w:rsidRDefault="00EB50DD">
      <w:pPr>
        <w:pStyle w:val="Testonotaapidipagina"/>
      </w:pPr>
      <w:r>
        <w:rPr>
          <w:rStyle w:val="Rimandonotaapidipagina"/>
        </w:rPr>
        <w:footnoteRef/>
      </w:r>
      <w:hyperlink r:id="rId13" w:history="1">
        <w:r w:rsidRPr="003336C0">
          <w:rPr>
            <w:rStyle w:val="Collegamentoipertestuale"/>
          </w:rPr>
          <w:t>http://www.answersforbusiness.nl/subsidy/environmental-investment-allowance</w:t>
        </w:r>
      </w:hyperlink>
    </w:p>
  </w:footnote>
  <w:footnote w:id="14">
    <w:p w:rsidR="006350D6" w:rsidRDefault="006350D6">
      <w:pPr>
        <w:pStyle w:val="Testonotaapidipagina"/>
      </w:pPr>
      <w:r>
        <w:rPr>
          <w:rStyle w:val="Rimandonotaapidipagina"/>
        </w:rPr>
        <w:footnoteRef/>
      </w:r>
      <w:hyperlink r:id="rId14" w:history="1">
        <w:r w:rsidRPr="001067F1">
          <w:rPr>
            <w:rStyle w:val="Collegamentoipertestuale"/>
          </w:rPr>
          <w:t>http://www.rvo.nl/subsidies-regelingen/biobased-economy-en-miavamil</w:t>
        </w:r>
      </w:hyperlink>
    </w:p>
  </w:footnote>
  <w:footnote w:id="15">
    <w:p w:rsidR="00EB50DD" w:rsidRDefault="00EB50DD">
      <w:pPr>
        <w:pStyle w:val="Testonotaapidipagina"/>
      </w:pPr>
      <w:r>
        <w:rPr>
          <w:rStyle w:val="Rimandonotaapidipagina"/>
        </w:rPr>
        <w:footnoteRef/>
      </w:r>
      <w:hyperlink r:id="rId15" w:history="1">
        <w:r w:rsidRPr="0030376C">
          <w:rPr>
            <w:rStyle w:val="Collegamentoipertestuale"/>
          </w:rPr>
          <w:t>http://www.agentschapnl.nl/subsidies-regelingen/energie-investeringsaftrek-eia</w:t>
        </w:r>
      </w:hyperlink>
    </w:p>
  </w:footnote>
  <w:footnote w:id="16">
    <w:p w:rsidR="00EB50DD" w:rsidRDefault="00EB50DD" w:rsidP="0089747C">
      <w:pPr>
        <w:spacing w:after="0" w:line="240" w:lineRule="auto"/>
      </w:pPr>
      <w:r>
        <w:rPr>
          <w:rStyle w:val="Rimandonotaapidipagina"/>
        </w:rPr>
        <w:footnoteRef/>
      </w:r>
      <w:hyperlink r:id="rId16" w:history="1">
        <w:r w:rsidRPr="0030376C">
          <w:rPr>
            <w:rStyle w:val="Collegamentoipertestuale"/>
          </w:rPr>
          <w:t>http://www.agentschapnl.nl/subsidies-regelingen/sde</w:t>
        </w:r>
      </w:hyperlink>
    </w:p>
  </w:footnote>
  <w:footnote w:id="17">
    <w:p w:rsidR="0015594C" w:rsidRPr="000D366F" w:rsidRDefault="0015594C" w:rsidP="0015594C">
      <w:pPr>
        <w:pStyle w:val="Testonotaapidipagina"/>
        <w:rPr>
          <w:rStyle w:val="Collegamentoipertestuale"/>
          <w:sz w:val="22"/>
          <w:szCs w:val="22"/>
        </w:rPr>
      </w:pPr>
      <w:r>
        <w:rPr>
          <w:rStyle w:val="Rimandonotaapidipagina"/>
        </w:rPr>
        <w:footnoteRef/>
      </w:r>
      <w:hyperlink r:id="rId17" w:history="1">
        <w:r w:rsidRPr="0030376C">
          <w:rPr>
            <w:rStyle w:val="Collegamentoipertestuale"/>
          </w:rPr>
          <w:t>http://www.agentschapnl.nl/sites/default/files/English_brochure_SDE%2B_2013_%28kleur_version%29.pdf</w:t>
        </w:r>
      </w:hyperlink>
    </w:p>
  </w:footnote>
  <w:footnote w:id="18">
    <w:p w:rsidR="00DB30B1" w:rsidRPr="0071536A" w:rsidRDefault="00DB30B1">
      <w:pPr>
        <w:pStyle w:val="Testonotaapidipagina"/>
        <w:rPr>
          <w:lang w:val="da-DK"/>
        </w:rPr>
      </w:pPr>
      <w:r>
        <w:rPr>
          <w:rStyle w:val="Rimandonotaapidipagina"/>
        </w:rPr>
        <w:footnoteRef/>
      </w:r>
      <w:r w:rsidRPr="0071536A">
        <w:rPr>
          <w:lang w:val="da-DK"/>
        </w:rPr>
        <w:t xml:space="preserve"> Nm3 = normal cubic meter</w:t>
      </w:r>
    </w:p>
  </w:footnote>
  <w:footnote w:id="19">
    <w:p w:rsidR="00115013" w:rsidRPr="00115013" w:rsidRDefault="00115013">
      <w:pPr>
        <w:pStyle w:val="Testonotaapidipagina"/>
        <w:rPr>
          <w:lang w:val="da-DK"/>
        </w:rPr>
      </w:pPr>
      <w:r>
        <w:rPr>
          <w:rStyle w:val="Rimandonotaapidipagina"/>
        </w:rPr>
        <w:footnoteRef/>
      </w:r>
      <w:hyperlink r:id="rId18" w:history="1">
        <w:r w:rsidRPr="001067F1">
          <w:rPr>
            <w:rStyle w:val="Collegamentoipertestuale"/>
            <w:lang w:val="da-DK"/>
          </w:rPr>
          <w:t>http://www.rvo.nl/subsidies-regelingen/tender-demonstratie-energie-innovatie</w:t>
        </w:r>
      </w:hyperlink>
    </w:p>
  </w:footnote>
  <w:footnote w:id="20">
    <w:p w:rsidR="004B014C" w:rsidRPr="004B014C" w:rsidRDefault="004B014C">
      <w:pPr>
        <w:pStyle w:val="Testonotaapidipagina"/>
        <w:rPr>
          <w:lang w:val="da-DK"/>
        </w:rPr>
      </w:pPr>
      <w:r>
        <w:rPr>
          <w:rStyle w:val="Rimandonotaapidipagina"/>
        </w:rPr>
        <w:footnoteRef/>
      </w:r>
      <w:hyperlink r:id="rId19" w:history="1">
        <w:r w:rsidRPr="001067F1">
          <w:rPr>
            <w:rStyle w:val="Collegamentoipertestuale"/>
            <w:lang w:val="da-DK"/>
          </w:rPr>
          <w:t>http://www.rvo.nl/subsidies-regelingen/tender-1-bbe-kostprijsreductie-elektriciteit-en-warmteproductie</w:t>
        </w:r>
      </w:hyperlink>
    </w:p>
  </w:footnote>
  <w:footnote w:id="21">
    <w:p w:rsidR="006D2C58" w:rsidRPr="006D2C58" w:rsidRDefault="006D2C58">
      <w:pPr>
        <w:pStyle w:val="Testonotaapidipagina"/>
        <w:rPr>
          <w:lang w:val="da-DK"/>
        </w:rPr>
      </w:pPr>
      <w:r>
        <w:rPr>
          <w:rStyle w:val="Rimandonotaapidipagina"/>
        </w:rPr>
        <w:footnoteRef/>
      </w:r>
      <w:hyperlink r:id="rId20" w:history="1">
        <w:r w:rsidRPr="001067F1">
          <w:rPr>
            <w:rStyle w:val="Collegamentoipertestuale"/>
            <w:lang w:val="da-DK"/>
          </w:rPr>
          <w:t>http://www.rvo.nl/subsidies-regelingen/tender-2-bbe-kostprijsreductie-elektriciteit-en-warmteproductie</w:t>
        </w:r>
      </w:hyperlink>
    </w:p>
  </w:footnote>
  <w:footnote w:id="22">
    <w:p w:rsidR="002D65A7" w:rsidRPr="002D65A7" w:rsidRDefault="002D65A7">
      <w:pPr>
        <w:pStyle w:val="Testonotaapidipagina"/>
        <w:rPr>
          <w:lang w:val="da-DK"/>
        </w:rPr>
      </w:pPr>
      <w:r>
        <w:rPr>
          <w:rStyle w:val="Rimandonotaapidipagina"/>
        </w:rPr>
        <w:footnoteRef/>
      </w:r>
      <w:hyperlink r:id="rId21" w:history="1">
        <w:r w:rsidRPr="001067F1">
          <w:rPr>
            <w:rStyle w:val="Collegamentoipertestuale"/>
            <w:lang w:val="da-DK"/>
          </w:rPr>
          <w:t>http://www.rvo.nl/subsidies-regelingen/tender-bbe-innovatieprojecten-bbe-i</w:t>
        </w:r>
      </w:hyperlink>
    </w:p>
  </w:footnote>
  <w:footnote w:id="23">
    <w:p w:rsidR="002A7C7F" w:rsidRPr="004B5E10" w:rsidRDefault="002A7C7F">
      <w:pPr>
        <w:pStyle w:val="Testonotaapidipagina"/>
        <w:rPr>
          <w:lang w:val="da-DK"/>
        </w:rPr>
      </w:pPr>
      <w:r>
        <w:rPr>
          <w:rStyle w:val="Rimandonotaapidipagina"/>
        </w:rPr>
        <w:footnoteRef/>
      </w:r>
      <w:hyperlink r:id="rId22" w:history="1">
        <w:r w:rsidRPr="001067F1">
          <w:rPr>
            <w:rStyle w:val="Collegamentoipertestuale"/>
            <w:lang w:val="da-DK"/>
          </w:rPr>
          <w:t>http://www.rvo.nl/subsidies-regelingen/mit-regeling-topsectoren-chemie-en-energie-incl-thema-biobased</w:t>
        </w:r>
      </w:hyperlink>
    </w:p>
  </w:footnote>
  <w:footnote w:id="24">
    <w:p w:rsidR="002A7C7F" w:rsidRPr="00837411" w:rsidRDefault="002A7C7F">
      <w:pPr>
        <w:pStyle w:val="Testonotaapidipagina"/>
        <w:rPr>
          <w:lang w:val="da-DK"/>
        </w:rPr>
      </w:pPr>
      <w:r>
        <w:rPr>
          <w:rStyle w:val="Rimandonotaapidipagina"/>
        </w:rPr>
        <w:footnoteRef/>
      </w:r>
      <w:hyperlink r:id="rId23" w:history="1">
        <w:r w:rsidRPr="001067F1">
          <w:rPr>
            <w:rStyle w:val="Collegamentoipertestuale"/>
            <w:lang w:val="da-DK"/>
          </w:rPr>
          <w:t>http://www.rvo.nl/sites/default/files/2014/03/MIT-2014_bijlage-J_6-Chemie-Biobased-Energie.pdf</w:t>
        </w:r>
      </w:hyperlink>
    </w:p>
  </w:footnote>
  <w:footnote w:id="25">
    <w:p w:rsidR="002A7C7F" w:rsidRPr="004B5E10" w:rsidRDefault="002A7C7F">
      <w:pPr>
        <w:pStyle w:val="Testonotaapidipagina"/>
        <w:rPr>
          <w:lang w:val="da-DK"/>
        </w:rPr>
      </w:pPr>
      <w:r>
        <w:rPr>
          <w:rStyle w:val="Rimandonotaapidipagina"/>
        </w:rPr>
        <w:footnoteRef/>
      </w:r>
      <w:hyperlink r:id="rId24" w:history="1">
        <w:r w:rsidRPr="001067F1">
          <w:rPr>
            <w:rStyle w:val="Collegamentoipertestuale"/>
            <w:lang w:val="da-DK"/>
          </w:rPr>
          <w:t>http://www.rvo.nl/subsidies-regelingen/mit-regeling-topsectoren-chemie-en-energie-incl-thema-biobased</w:t>
        </w:r>
      </w:hyperlink>
    </w:p>
  </w:footnote>
  <w:footnote w:id="26">
    <w:p w:rsidR="002A7C7F" w:rsidRPr="00837411" w:rsidRDefault="002A7C7F">
      <w:pPr>
        <w:pStyle w:val="Testonotaapidipagina"/>
        <w:rPr>
          <w:lang w:val="da-DK"/>
        </w:rPr>
      </w:pPr>
      <w:r>
        <w:rPr>
          <w:rStyle w:val="Rimandonotaapidipagina"/>
        </w:rPr>
        <w:footnoteRef/>
      </w:r>
      <w:hyperlink r:id="rId25" w:history="1">
        <w:r w:rsidRPr="001067F1">
          <w:rPr>
            <w:rStyle w:val="Collegamentoipertestuale"/>
            <w:lang w:val="da-DK"/>
          </w:rPr>
          <w:t>http://www.rvo.nl/sites/default/files/2014/03/MIT-2014_bijlage-J_6-Chemie-Biobased-Energie.pdf</w:t>
        </w:r>
      </w:hyperlink>
    </w:p>
  </w:footnote>
  <w:footnote w:id="27">
    <w:p w:rsidR="005D575C" w:rsidRPr="00F1143F" w:rsidRDefault="005D575C" w:rsidP="005D575C">
      <w:pPr>
        <w:spacing w:after="0" w:line="240" w:lineRule="auto"/>
        <w:rPr>
          <w:lang w:val="da-DK"/>
        </w:rPr>
      </w:pPr>
      <w:r>
        <w:rPr>
          <w:rStyle w:val="Rimandonotaapidipagina"/>
        </w:rPr>
        <w:footnoteRef/>
      </w:r>
      <w:hyperlink r:id="rId26" w:history="1">
        <w:r w:rsidRPr="00F1143F">
          <w:rPr>
            <w:rStyle w:val="Collegamentoipertestuale"/>
            <w:lang w:val="da-DK"/>
          </w:rPr>
          <w:t>http://www.agentschapnl.nl/programmas-regelingen/nederlands-beleid-biobrandstoffen</w:t>
        </w:r>
      </w:hyperlink>
    </w:p>
  </w:footnote>
  <w:footnote w:id="28">
    <w:p w:rsidR="005D575C" w:rsidRDefault="005D575C" w:rsidP="005D575C">
      <w:pPr>
        <w:spacing w:after="0" w:line="240" w:lineRule="auto"/>
        <w:rPr>
          <w:bCs/>
        </w:rPr>
      </w:pPr>
      <w:r>
        <w:rPr>
          <w:rStyle w:val="Rimandonotaapidipagina"/>
        </w:rPr>
        <w:footnoteRef/>
      </w:r>
      <w:r>
        <w:t xml:space="preserve"> Personal Communication with </w:t>
      </w:r>
      <w:r w:rsidRPr="000C6DD0">
        <w:rPr>
          <w:bCs/>
        </w:rPr>
        <w:t>NL Energy and ClimateAgency, Agent</w:t>
      </w:r>
      <w:r>
        <w:rPr>
          <w:bCs/>
        </w:rPr>
        <w:t>schapnl, 26</w:t>
      </w:r>
      <w:r w:rsidRPr="000C6DD0">
        <w:rPr>
          <w:bCs/>
          <w:vertAlign w:val="superscript"/>
        </w:rPr>
        <w:t>th</w:t>
      </w:r>
      <w:r>
        <w:rPr>
          <w:bCs/>
        </w:rPr>
        <w:t xml:space="preserve"> April 2012. </w:t>
      </w:r>
    </w:p>
    <w:p w:rsidR="00F31410" w:rsidRPr="00973105" w:rsidRDefault="005D575C" w:rsidP="005D575C">
      <w:pPr>
        <w:spacing w:after="0" w:line="240" w:lineRule="auto"/>
        <w:rPr>
          <w:bCs/>
        </w:rPr>
      </w:pPr>
      <w:r w:rsidRPr="00AA5530">
        <w:rPr>
          <w:bCs/>
        </w:rPr>
        <w:t>*</w:t>
      </w:r>
      <w:r w:rsidRPr="00AA5530">
        <w:t>Installations that have run within another subsidy regime and have ended the lifespan under this regime can continue addressing subsidy under the SDE program.</w:t>
      </w:r>
    </w:p>
  </w:footnote>
  <w:footnote w:id="29">
    <w:p w:rsidR="00982C8E" w:rsidRDefault="00982C8E" w:rsidP="00982C8E">
      <w:pPr>
        <w:pStyle w:val="Testonotaapidipagina"/>
      </w:pPr>
      <w:r>
        <w:rPr>
          <w:rStyle w:val="Rimandonotaapidipagina"/>
        </w:rPr>
        <w:footnoteRef/>
      </w:r>
      <w:hyperlink r:id="rId27" w:history="1">
        <w:r w:rsidRPr="0067424C">
          <w:rPr>
            <w:rStyle w:val="Collegamentoipertestuale"/>
          </w:rPr>
          <w:t>http://www.helpdeskwater.nl/algemene-onderdelen/serviceblok/english/legislation/</w:t>
        </w:r>
      </w:hyperlink>
    </w:p>
  </w:footnote>
  <w:footnote w:id="30">
    <w:p w:rsidR="00B97CA0" w:rsidRDefault="00B97CA0">
      <w:pPr>
        <w:pStyle w:val="Testonotaapidipagina"/>
      </w:pPr>
      <w:r>
        <w:rPr>
          <w:rStyle w:val="Rimandonotaapidipagina"/>
        </w:rPr>
        <w:footnoteRef/>
      </w:r>
      <w:hyperlink r:id="rId28" w:history="1">
        <w:r w:rsidRPr="001067F1">
          <w:rPr>
            <w:rStyle w:val="Collegamentoipertestuale"/>
          </w:rPr>
          <w:t>http://mapeer-sme.eu/programmes-for-smes/search-in-the-online-database/dutch-sbir-small-business-innovation-programme-NL2</w:t>
        </w:r>
      </w:hyperlink>
    </w:p>
  </w:footnote>
  <w:footnote w:id="31">
    <w:p w:rsidR="00B97CA0" w:rsidRDefault="00B97CA0">
      <w:pPr>
        <w:pStyle w:val="Testonotaapidipagina"/>
      </w:pPr>
      <w:r>
        <w:rPr>
          <w:rStyle w:val="Rimandonotaapidipagina"/>
        </w:rPr>
        <w:footnoteRef/>
      </w:r>
      <w:hyperlink r:id="rId29" w:history="1">
        <w:r w:rsidRPr="001067F1">
          <w:rPr>
            <w:rStyle w:val="Collegamentoipertestuale"/>
          </w:rPr>
          <w:t>http://www.rvo.nl/subsidies-regelingen/sbir-teelt-en-oogst-van-zeewieren</w:t>
        </w:r>
      </w:hyperlink>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0D29DC"/>
    <w:multiLevelType w:val="hybridMultilevel"/>
    <w:tmpl w:val="0AB887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550F568B"/>
    <w:multiLevelType w:val="hybridMultilevel"/>
    <w:tmpl w:val="9D24FF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57BE5A3B"/>
    <w:multiLevelType w:val="hybridMultilevel"/>
    <w:tmpl w:val="9DBCCD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5C8A57F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6022368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6A5C222D"/>
    <w:multiLevelType w:val="hybridMultilevel"/>
    <w:tmpl w:val="98D6C4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6D2A2C8D"/>
    <w:multiLevelType w:val="hybridMultilevel"/>
    <w:tmpl w:val="A03A4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3"/>
  </w:num>
  <w:num w:numId="4">
    <w:abstractNumId w:val="1"/>
  </w:num>
  <w:num w:numId="5">
    <w:abstractNumId w:val="5"/>
  </w:num>
  <w:num w:numId="6">
    <w:abstractNumId w:val="0"/>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hyphenationZone w:val="425"/>
  <w:characterSpacingControl w:val="doNotCompress"/>
  <w:footnotePr>
    <w:footnote w:id="0"/>
    <w:footnote w:id="1"/>
  </w:footnotePr>
  <w:endnotePr>
    <w:endnote w:id="0"/>
    <w:endnote w:id="1"/>
  </w:endnotePr>
  <w:compat>
    <w:useFELayout/>
  </w:compat>
  <w:rsids>
    <w:rsidRoot w:val="005D575C"/>
    <w:rsid w:val="000011D1"/>
    <w:rsid w:val="00005415"/>
    <w:rsid w:val="0000661B"/>
    <w:rsid w:val="00006D60"/>
    <w:rsid w:val="00021AA9"/>
    <w:rsid w:val="000224CE"/>
    <w:rsid w:val="00023293"/>
    <w:rsid w:val="0003013D"/>
    <w:rsid w:val="000319F6"/>
    <w:rsid w:val="00035AA1"/>
    <w:rsid w:val="00035F86"/>
    <w:rsid w:val="0004041C"/>
    <w:rsid w:val="00041CBE"/>
    <w:rsid w:val="00042A5C"/>
    <w:rsid w:val="00043E46"/>
    <w:rsid w:val="000511B6"/>
    <w:rsid w:val="00051ADD"/>
    <w:rsid w:val="00055676"/>
    <w:rsid w:val="00055A26"/>
    <w:rsid w:val="00056283"/>
    <w:rsid w:val="00057DBF"/>
    <w:rsid w:val="00061ED4"/>
    <w:rsid w:val="00072A60"/>
    <w:rsid w:val="0007366A"/>
    <w:rsid w:val="00082122"/>
    <w:rsid w:val="0008724F"/>
    <w:rsid w:val="0009050F"/>
    <w:rsid w:val="00092165"/>
    <w:rsid w:val="00093882"/>
    <w:rsid w:val="00096EBE"/>
    <w:rsid w:val="000A4D49"/>
    <w:rsid w:val="000A5870"/>
    <w:rsid w:val="000A6C27"/>
    <w:rsid w:val="000A7751"/>
    <w:rsid w:val="000A7B14"/>
    <w:rsid w:val="000B107C"/>
    <w:rsid w:val="000C4409"/>
    <w:rsid w:val="000C6396"/>
    <w:rsid w:val="000C65F4"/>
    <w:rsid w:val="000D548C"/>
    <w:rsid w:val="000D5BF4"/>
    <w:rsid w:val="000D751F"/>
    <w:rsid w:val="000F4BE7"/>
    <w:rsid w:val="000F4C22"/>
    <w:rsid w:val="000F6096"/>
    <w:rsid w:val="000F6E85"/>
    <w:rsid w:val="001006E4"/>
    <w:rsid w:val="00101A6D"/>
    <w:rsid w:val="00101D92"/>
    <w:rsid w:val="00102194"/>
    <w:rsid w:val="0010390D"/>
    <w:rsid w:val="0010589B"/>
    <w:rsid w:val="001066B9"/>
    <w:rsid w:val="00111B0F"/>
    <w:rsid w:val="00115013"/>
    <w:rsid w:val="001168DD"/>
    <w:rsid w:val="00116FA8"/>
    <w:rsid w:val="00117750"/>
    <w:rsid w:val="00121530"/>
    <w:rsid w:val="001234D6"/>
    <w:rsid w:val="00140029"/>
    <w:rsid w:val="00140A58"/>
    <w:rsid w:val="001418AD"/>
    <w:rsid w:val="00146DC2"/>
    <w:rsid w:val="0015097E"/>
    <w:rsid w:val="001509C3"/>
    <w:rsid w:val="0015594C"/>
    <w:rsid w:val="001559E0"/>
    <w:rsid w:val="00164421"/>
    <w:rsid w:val="00173A1D"/>
    <w:rsid w:val="00176CBD"/>
    <w:rsid w:val="00180E41"/>
    <w:rsid w:val="00180F3C"/>
    <w:rsid w:val="0018211E"/>
    <w:rsid w:val="001857F8"/>
    <w:rsid w:val="001920BE"/>
    <w:rsid w:val="00192408"/>
    <w:rsid w:val="00197167"/>
    <w:rsid w:val="00197963"/>
    <w:rsid w:val="001A1858"/>
    <w:rsid w:val="001A40DC"/>
    <w:rsid w:val="001B0432"/>
    <w:rsid w:val="001B48C9"/>
    <w:rsid w:val="001B7CA6"/>
    <w:rsid w:val="001D6099"/>
    <w:rsid w:val="001D703E"/>
    <w:rsid w:val="001E1ED8"/>
    <w:rsid w:val="001E3ED0"/>
    <w:rsid w:val="001E5F5F"/>
    <w:rsid w:val="001F1359"/>
    <w:rsid w:val="001F161A"/>
    <w:rsid w:val="001F4C58"/>
    <w:rsid w:val="0020326B"/>
    <w:rsid w:val="00214060"/>
    <w:rsid w:val="002211F4"/>
    <w:rsid w:val="0022140C"/>
    <w:rsid w:val="00233B90"/>
    <w:rsid w:val="002370B1"/>
    <w:rsid w:val="0024039D"/>
    <w:rsid w:val="00241D1A"/>
    <w:rsid w:val="00243892"/>
    <w:rsid w:val="0026164B"/>
    <w:rsid w:val="00261A95"/>
    <w:rsid w:val="0026281C"/>
    <w:rsid w:val="00265043"/>
    <w:rsid w:val="00267B98"/>
    <w:rsid w:val="00281872"/>
    <w:rsid w:val="00284E19"/>
    <w:rsid w:val="00291341"/>
    <w:rsid w:val="00293995"/>
    <w:rsid w:val="002A185D"/>
    <w:rsid w:val="002A2019"/>
    <w:rsid w:val="002A7C7F"/>
    <w:rsid w:val="002B52A4"/>
    <w:rsid w:val="002B6101"/>
    <w:rsid w:val="002C19A9"/>
    <w:rsid w:val="002C63D9"/>
    <w:rsid w:val="002D05B5"/>
    <w:rsid w:val="002D65A7"/>
    <w:rsid w:val="002E5079"/>
    <w:rsid w:val="002E59D1"/>
    <w:rsid w:val="002E6493"/>
    <w:rsid w:val="002E7CC9"/>
    <w:rsid w:val="002F35E9"/>
    <w:rsid w:val="00306BCE"/>
    <w:rsid w:val="00311AA8"/>
    <w:rsid w:val="00312CB0"/>
    <w:rsid w:val="003151F2"/>
    <w:rsid w:val="0031695E"/>
    <w:rsid w:val="003202E3"/>
    <w:rsid w:val="00322689"/>
    <w:rsid w:val="0032370A"/>
    <w:rsid w:val="00323C15"/>
    <w:rsid w:val="003318AC"/>
    <w:rsid w:val="003319C1"/>
    <w:rsid w:val="00361870"/>
    <w:rsid w:val="003675C4"/>
    <w:rsid w:val="00375237"/>
    <w:rsid w:val="00375465"/>
    <w:rsid w:val="0037565B"/>
    <w:rsid w:val="00377B29"/>
    <w:rsid w:val="0038244E"/>
    <w:rsid w:val="00384030"/>
    <w:rsid w:val="00386BFA"/>
    <w:rsid w:val="00387190"/>
    <w:rsid w:val="00391AC8"/>
    <w:rsid w:val="00394D1A"/>
    <w:rsid w:val="00395E68"/>
    <w:rsid w:val="00397E44"/>
    <w:rsid w:val="003A0EEE"/>
    <w:rsid w:val="003B12AB"/>
    <w:rsid w:val="003C0FF9"/>
    <w:rsid w:val="003C632B"/>
    <w:rsid w:val="003E0D5F"/>
    <w:rsid w:val="003E50CC"/>
    <w:rsid w:val="003E5A8E"/>
    <w:rsid w:val="003F7C05"/>
    <w:rsid w:val="00400884"/>
    <w:rsid w:val="00402DA0"/>
    <w:rsid w:val="00404879"/>
    <w:rsid w:val="00410B39"/>
    <w:rsid w:val="00414FC0"/>
    <w:rsid w:val="004315B0"/>
    <w:rsid w:val="00437D53"/>
    <w:rsid w:val="00440932"/>
    <w:rsid w:val="00451819"/>
    <w:rsid w:val="00454F69"/>
    <w:rsid w:val="0045524E"/>
    <w:rsid w:val="00456EBE"/>
    <w:rsid w:val="00460C9E"/>
    <w:rsid w:val="004628E9"/>
    <w:rsid w:val="00465F08"/>
    <w:rsid w:val="004702AE"/>
    <w:rsid w:val="004713F8"/>
    <w:rsid w:val="00492E64"/>
    <w:rsid w:val="00493784"/>
    <w:rsid w:val="00496219"/>
    <w:rsid w:val="004975B0"/>
    <w:rsid w:val="00497753"/>
    <w:rsid w:val="00497F52"/>
    <w:rsid w:val="004A0D31"/>
    <w:rsid w:val="004A61ED"/>
    <w:rsid w:val="004A6C68"/>
    <w:rsid w:val="004A7575"/>
    <w:rsid w:val="004B014C"/>
    <w:rsid w:val="004B31F6"/>
    <w:rsid w:val="004B5227"/>
    <w:rsid w:val="004B55AA"/>
    <w:rsid w:val="004B5E10"/>
    <w:rsid w:val="004B7D7F"/>
    <w:rsid w:val="004C157C"/>
    <w:rsid w:val="004C2903"/>
    <w:rsid w:val="004C304E"/>
    <w:rsid w:val="004C70CA"/>
    <w:rsid w:val="004D287A"/>
    <w:rsid w:val="004F216B"/>
    <w:rsid w:val="004F3E4D"/>
    <w:rsid w:val="004F724A"/>
    <w:rsid w:val="0050093A"/>
    <w:rsid w:val="005009DB"/>
    <w:rsid w:val="00502235"/>
    <w:rsid w:val="00503BE6"/>
    <w:rsid w:val="00506B22"/>
    <w:rsid w:val="005163DE"/>
    <w:rsid w:val="00520500"/>
    <w:rsid w:val="00520F48"/>
    <w:rsid w:val="005211C2"/>
    <w:rsid w:val="00523133"/>
    <w:rsid w:val="00551E4C"/>
    <w:rsid w:val="00556853"/>
    <w:rsid w:val="0056284B"/>
    <w:rsid w:val="00570E88"/>
    <w:rsid w:val="00575251"/>
    <w:rsid w:val="00581B0E"/>
    <w:rsid w:val="00591158"/>
    <w:rsid w:val="00593FDB"/>
    <w:rsid w:val="005963E4"/>
    <w:rsid w:val="005A177D"/>
    <w:rsid w:val="005A1EB8"/>
    <w:rsid w:val="005A438E"/>
    <w:rsid w:val="005B0321"/>
    <w:rsid w:val="005B0614"/>
    <w:rsid w:val="005B1120"/>
    <w:rsid w:val="005B151D"/>
    <w:rsid w:val="005B1D4C"/>
    <w:rsid w:val="005B2972"/>
    <w:rsid w:val="005B3A57"/>
    <w:rsid w:val="005B4DDA"/>
    <w:rsid w:val="005B5320"/>
    <w:rsid w:val="005B6511"/>
    <w:rsid w:val="005B7961"/>
    <w:rsid w:val="005C0F60"/>
    <w:rsid w:val="005C6381"/>
    <w:rsid w:val="005D0E0E"/>
    <w:rsid w:val="005D1CA7"/>
    <w:rsid w:val="005D575C"/>
    <w:rsid w:val="005E0DFD"/>
    <w:rsid w:val="005E4ED6"/>
    <w:rsid w:val="005E51F2"/>
    <w:rsid w:val="005F0E0D"/>
    <w:rsid w:val="005F205C"/>
    <w:rsid w:val="005F2B37"/>
    <w:rsid w:val="005F61BA"/>
    <w:rsid w:val="00602644"/>
    <w:rsid w:val="00603176"/>
    <w:rsid w:val="0061121F"/>
    <w:rsid w:val="00621369"/>
    <w:rsid w:val="00621AE2"/>
    <w:rsid w:val="00625E2C"/>
    <w:rsid w:val="00625FBD"/>
    <w:rsid w:val="00630CA3"/>
    <w:rsid w:val="00633CED"/>
    <w:rsid w:val="006350D6"/>
    <w:rsid w:val="00640F83"/>
    <w:rsid w:val="00643652"/>
    <w:rsid w:val="00645647"/>
    <w:rsid w:val="00654EB0"/>
    <w:rsid w:val="00656007"/>
    <w:rsid w:val="00656970"/>
    <w:rsid w:val="00661D99"/>
    <w:rsid w:val="006677CE"/>
    <w:rsid w:val="00680E5C"/>
    <w:rsid w:val="00683E25"/>
    <w:rsid w:val="006930C6"/>
    <w:rsid w:val="006A251B"/>
    <w:rsid w:val="006A58FF"/>
    <w:rsid w:val="006B314A"/>
    <w:rsid w:val="006B40AC"/>
    <w:rsid w:val="006B49FD"/>
    <w:rsid w:val="006B612C"/>
    <w:rsid w:val="006B7200"/>
    <w:rsid w:val="006D1FD5"/>
    <w:rsid w:val="006D2C58"/>
    <w:rsid w:val="006D4331"/>
    <w:rsid w:val="006F6132"/>
    <w:rsid w:val="006F6E05"/>
    <w:rsid w:val="006F737A"/>
    <w:rsid w:val="007044F6"/>
    <w:rsid w:val="0071277D"/>
    <w:rsid w:val="00713059"/>
    <w:rsid w:val="007131B7"/>
    <w:rsid w:val="0071536A"/>
    <w:rsid w:val="0072041A"/>
    <w:rsid w:val="00724019"/>
    <w:rsid w:val="00724F26"/>
    <w:rsid w:val="007261BA"/>
    <w:rsid w:val="00726285"/>
    <w:rsid w:val="00730EDF"/>
    <w:rsid w:val="00731959"/>
    <w:rsid w:val="00731CB1"/>
    <w:rsid w:val="007331CB"/>
    <w:rsid w:val="0074347A"/>
    <w:rsid w:val="007447EF"/>
    <w:rsid w:val="00745601"/>
    <w:rsid w:val="0074610B"/>
    <w:rsid w:val="0075484D"/>
    <w:rsid w:val="0075532A"/>
    <w:rsid w:val="00755C85"/>
    <w:rsid w:val="0075673C"/>
    <w:rsid w:val="00756C05"/>
    <w:rsid w:val="0078124A"/>
    <w:rsid w:val="00781D4E"/>
    <w:rsid w:val="007828ED"/>
    <w:rsid w:val="007869F2"/>
    <w:rsid w:val="007957D6"/>
    <w:rsid w:val="007A5662"/>
    <w:rsid w:val="007A6BCE"/>
    <w:rsid w:val="007B18B4"/>
    <w:rsid w:val="007B34F3"/>
    <w:rsid w:val="007B4C7D"/>
    <w:rsid w:val="007B755C"/>
    <w:rsid w:val="007C0EA1"/>
    <w:rsid w:val="007C4870"/>
    <w:rsid w:val="007C49AE"/>
    <w:rsid w:val="007C70E4"/>
    <w:rsid w:val="007D1020"/>
    <w:rsid w:val="007D1E1C"/>
    <w:rsid w:val="007D357B"/>
    <w:rsid w:val="007D5AFF"/>
    <w:rsid w:val="007E063F"/>
    <w:rsid w:val="007E3AA4"/>
    <w:rsid w:val="007F18FC"/>
    <w:rsid w:val="007F294F"/>
    <w:rsid w:val="007F3FA4"/>
    <w:rsid w:val="007F4605"/>
    <w:rsid w:val="007F581B"/>
    <w:rsid w:val="007F60C8"/>
    <w:rsid w:val="007F732C"/>
    <w:rsid w:val="00801B8C"/>
    <w:rsid w:val="00810AB1"/>
    <w:rsid w:val="008146D1"/>
    <w:rsid w:val="00814824"/>
    <w:rsid w:val="0081523D"/>
    <w:rsid w:val="008252AC"/>
    <w:rsid w:val="0082798F"/>
    <w:rsid w:val="0083189A"/>
    <w:rsid w:val="00833049"/>
    <w:rsid w:val="00837411"/>
    <w:rsid w:val="00837A48"/>
    <w:rsid w:val="00847E9C"/>
    <w:rsid w:val="008505E9"/>
    <w:rsid w:val="0085301C"/>
    <w:rsid w:val="008530FD"/>
    <w:rsid w:val="008547EA"/>
    <w:rsid w:val="0085488E"/>
    <w:rsid w:val="00862D6C"/>
    <w:rsid w:val="00866146"/>
    <w:rsid w:val="00866D21"/>
    <w:rsid w:val="00867220"/>
    <w:rsid w:val="0087036B"/>
    <w:rsid w:val="008703DF"/>
    <w:rsid w:val="00870F45"/>
    <w:rsid w:val="0087303F"/>
    <w:rsid w:val="00876364"/>
    <w:rsid w:val="008763D8"/>
    <w:rsid w:val="0087673C"/>
    <w:rsid w:val="00877659"/>
    <w:rsid w:val="008828CA"/>
    <w:rsid w:val="0089747C"/>
    <w:rsid w:val="008A3609"/>
    <w:rsid w:val="008D0D6F"/>
    <w:rsid w:val="008D1F97"/>
    <w:rsid w:val="008D385D"/>
    <w:rsid w:val="008D444E"/>
    <w:rsid w:val="008D5099"/>
    <w:rsid w:val="008D5733"/>
    <w:rsid w:val="008D5D35"/>
    <w:rsid w:val="008D7C1E"/>
    <w:rsid w:val="008E681A"/>
    <w:rsid w:val="008E69A2"/>
    <w:rsid w:val="008E7D88"/>
    <w:rsid w:val="008F0AA9"/>
    <w:rsid w:val="008F4D52"/>
    <w:rsid w:val="008F72BF"/>
    <w:rsid w:val="00901EDF"/>
    <w:rsid w:val="00903455"/>
    <w:rsid w:val="00905295"/>
    <w:rsid w:val="00905AFA"/>
    <w:rsid w:val="00910580"/>
    <w:rsid w:val="009219D8"/>
    <w:rsid w:val="009327CB"/>
    <w:rsid w:val="00934AB8"/>
    <w:rsid w:val="00940C4F"/>
    <w:rsid w:val="00944CCC"/>
    <w:rsid w:val="00945E5B"/>
    <w:rsid w:val="009511EA"/>
    <w:rsid w:val="00953605"/>
    <w:rsid w:val="00956B27"/>
    <w:rsid w:val="00961753"/>
    <w:rsid w:val="00961E7B"/>
    <w:rsid w:val="00962C43"/>
    <w:rsid w:val="009648F9"/>
    <w:rsid w:val="00966006"/>
    <w:rsid w:val="009669A6"/>
    <w:rsid w:val="00977328"/>
    <w:rsid w:val="00981ACE"/>
    <w:rsid w:val="00982C8E"/>
    <w:rsid w:val="00983810"/>
    <w:rsid w:val="00983CD7"/>
    <w:rsid w:val="00984EC6"/>
    <w:rsid w:val="00991058"/>
    <w:rsid w:val="00992B73"/>
    <w:rsid w:val="00997BB4"/>
    <w:rsid w:val="009A295F"/>
    <w:rsid w:val="009A377F"/>
    <w:rsid w:val="009A6355"/>
    <w:rsid w:val="009A7F22"/>
    <w:rsid w:val="009A7FF9"/>
    <w:rsid w:val="009B646C"/>
    <w:rsid w:val="009C7A03"/>
    <w:rsid w:val="009D5765"/>
    <w:rsid w:val="009D5E42"/>
    <w:rsid w:val="009E2A28"/>
    <w:rsid w:val="009E37DC"/>
    <w:rsid w:val="009E4F72"/>
    <w:rsid w:val="009E5191"/>
    <w:rsid w:val="009E52A8"/>
    <w:rsid w:val="009F0B64"/>
    <w:rsid w:val="009F2289"/>
    <w:rsid w:val="009F3806"/>
    <w:rsid w:val="009F5051"/>
    <w:rsid w:val="009F719B"/>
    <w:rsid w:val="00A01262"/>
    <w:rsid w:val="00A03041"/>
    <w:rsid w:val="00A03C58"/>
    <w:rsid w:val="00A11984"/>
    <w:rsid w:val="00A12F38"/>
    <w:rsid w:val="00A150AE"/>
    <w:rsid w:val="00A154B2"/>
    <w:rsid w:val="00A165DA"/>
    <w:rsid w:val="00A2010E"/>
    <w:rsid w:val="00A24B8E"/>
    <w:rsid w:val="00A26644"/>
    <w:rsid w:val="00A26E01"/>
    <w:rsid w:val="00A275C9"/>
    <w:rsid w:val="00A31898"/>
    <w:rsid w:val="00A328B9"/>
    <w:rsid w:val="00A3352C"/>
    <w:rsid w:val="00A34DD0"/>
    <w:rsid w:val="00A4039D"/>
    <w:rsid w:val="00A41D87"/>
    <w:rsid w:val="00A42473"/>
    <w:rsid w:val="00A53AC9"/>
    <w:rsid w:val="00A56679"/>
    <w:rsid w:val="00A5787A"/>
    <w:rsid w:val="00A640A6"/>
    <w:rsid w:val="00A66292"/>
    <w:rsid w:val="00A66428"/>
    <w:rsid w:val="00A70699"/>
    <w:rsid w:val="00A7647C"/>
    <w:rsid w:val="00A77213"/>
    <w:rsid w:val="00A824F3"/>
    <w:rsid w:val="00A82B30"/>
    <w:rsid w:val="00A82EE7"/>
    <w:rsid w:val="00A83F44"/>
    <w:rsid w:val="00A842B1"/>
    <w:rsid w:val="00A878F9"/>
    <w:rsid w:val="00A91909"/>
    <w:rsid w:val="00AA44A9"/>
    <w:rsid w:val="00AA4F96"/>
    <w:rsid w:val="00AB0962"/>
    <w:rsid w:val="00AB22A7"/>
    <w:rsid w:val="00AB25F8"/>
    <w:rsid w:val="00AB713E"/>
    <w:rsid w:val="00AC626C"/>
    <w:rsid w:val="00AD01E5"/>
    <w:rsid w:val="00AD4859"/>
    <w:rsid w:val="00AD5B52"/>
    <w:rsid w:val="00AD79F4"/>
    <w:rsid w:val="00AE22ED"/>
    <w:rsid w:val="00AF1594"/>
    <w:rsid w:val="00AF29DB"/>
    <w:rsid w:val="00B04F36"/>
    <w:rsid w:val="00B12A8A"/>
    <w:rsid w:val="00B23399"/>
    <w:rsid w:val="00B263F5"/>
    <w:rsid w:val="00B26676"/>
    <w:rsid w:val="00B30991"/>
    <w:rsid w:val="00B32812"/>
    <w:rsid w:val="00B376BE"/>
    <w:rsid w:val="00B409C5"/>
    <w:rsid w:val="00B40D07"/>
    <w:rsid w:val="00B41D92"/>
    <w:rsid w:val="00B425D2"/>
    <w:rsid w:val="00B549D9"/>
    <w:rsid w:val="00B56092"/>
    <w:rsid w:val="00B638E2"/>
    <w:rsid w:val="00B640DA"/>
    <w:rsid w:val="00B7360B"/>
    <w:rsid w:val="00B74FF8"/>
    <w:rsid w:val="00B75BDE"/>
    <w:rsid w:val="00B8104D"/>
    <w:rsid w:val="00B8299B"/>
    <w:rsid w:val="00B94C1B"/>
    <w:rsid w:val="00B97CA0"/>
    <w:rsid w:val="00BA0EF7"/>
    <w:rsid w:val="00BA2BD7"/>
    <w:rsid w:val="00BA5FE7"/>
    <w:rsid w:val="00BB17A4"/>
    <w:rsid w:val="00BB6CF9"/>
    <w:rsid w:val="00BC2B89"/>
    <w:rsid w:val="00BC43EB"/>
    <w:rsid w:val="00BC73CD"/>
    <w:rsid w:val="00BD273D"/>
    <w:rsid w:val="00BE762F"/>
    <w:rsid w:val="00BF4079"/>
    <w:rsid w:val="00C002A0"/>
    <w:rsid w:val="00C06BB6"/>
    <w:rsid w:val="00C06E8F"/>
    <w:rsid w:val="00C1360A"/>
    <w:rsid w:val="00C20166"/>
    <w:rsid w:val="00C2030C"/>
    <w:rsid w:val="00C20F42"/>
    <w:rsid w:val="00C228AF"/>
    <w:rsid w:val="00C25237"/>
    <w:rsid w:val="00C452E5"/>
    <w:rsid w:val="00C50499"/>
    <w:rsid w:val="00C5138F"/>
    <w:rsid w:val="00C53CAE"/>
    <w:rsid w:val="00C66A3D"/>
    <w:rsid w:val="00C67F48"/>
    <w:rsid w:val="00C77E4F"/>
    <w:rsid w:val="00C81FF4"/>
    <w:rsid w:val="00C85EB9"/>
    <w:rsid w:val="00CA0C4B"/>
    <w:rsid w:val="00CA6E49"/>
    <w:rsid w:val="00CA7201"/>
    <w:rsid w:val="00CB55C6"/>
    <w:rsid w:val="00CB75F9"/>
    <w:rsid w:val="00CC33C9"/>
    <w:rsid w:val="00CC3CE5"/>
    <w:rsid w:val="00CC5B2B"/>
    <w:rsid w:val="00CC5B42"/>
    <w:rsid w:val="00CD48A4"/>
    <w:rsid w:val="00CE1B38"/>
    <w:rsid w:val="00CE1DF9"/>
    <w:rsid w:val="00CF2A36"/>
    <w:rsid w:val="00CF3008"/>
    <w:rsid w:val="00CF6121"/>
    <w:rsid w:val="00CF7442"/>
    <w:rsid w:val="00D06552"/>
    <w:rsid w:val="00D101AE"/>
    <w:rsid w:val="00D11ADC"/>
    <w:rsid w:val="00D27A07"/>
    <w:rsid w:val="00D27F81"/>
    <w:rsid w:val="00D3059E"/>
    <w:rsid w:val="00D35A17"/>
    <w:rsid w:val="00D444F8"/>
    <w:rsid w:val="00D448A0"/>
    <w:rsid w:val="00D47340"/>
    <w:rsid w:val="00D55D20"/>
    <w:rsid w:val="00D55FE7"/>
    <w:rsid w:val="00D57577"/>
    <w:rsid w:val="00D70D51"/>
    <w:rsid w:val="00D72AD5"/>
    <w:rsid w:val="00D73110"/>
    <w:rsid w:val="00D804B9"/>
    <w:rsid w:val="00D837B8"/>
    <w:rsid w:val="00D84E19"/>
    <w:rsid w:val="00D86197"/>
    <w:rsid w:val="00D8653E"/>
    <w:rsid w:val="00D87C02"/>
    <w:rsid w:val="00D9012A"/>
    <w:rsid w:val="00D937C0"/>
    <w:rsid w:val="00D9683D"/>
    <w:rsid w:val="00D9721C"/>
    <w:rsid w:val="00DA4BC7"/>
    <w:rsid w:val="00DB29A8"/>
    <w:rsid w:val="00DB30B1"/>
    <w:rsid w:val="00DC13C5"/>
    <w:rsid w:val="00DC4161"/>
    <w:rsid w:val="00DC6967"/>
    <w:rsid w:val="00DC79EB"/>
    <w:rsid w:val="00DD2BAC"/>
    <w:rsid w:val="00DE0E31"/>
    <w:rsid w:val="00DE5A41"/>
    <w:rsid w:val="00DF0033"/>
    <w:rsid w:val="00DF5EA1"/>
    <w:rsid w:val="00DF7EDF"/>
    <w:rsid w:val="00E03253"/>
    <w:rsid w:val="00E03DCF"/>
    <w:rsid w:val="00E055C4"/>
    <w:rsid w:val="00E07F57"/>
    <w:rsid w:val="00E11877"/>
    <w:rsid w:val="00E1202D"/>
    <w:rsid w:val="00E16F56"/>
    <w:rsid w:val="00E17F41"/>
    <w:rsid w:val="00E20ACC"/>
    <w:rsid w:val="00E22982"/>
    <w:rsid w:val="00E2362D"/>
    <w:rsid w:val="00E24D01"/>
    <w:rsid w:val="00E27935"/>
    <w:rsid w:val="00E27ADD"/>
    <w:rsid w:val="00E3076D"/>
    <w:rsid w:val="00E30CCC"/>
    <w:rsid w:val="00E358B3"/>
    <w:rsid w:val="00E42965"/>
    <w:rsid w:val="00E47E77"/>
    <w:rsid w:val="00E540BC"/>
    <w:rsid w:val="00E541ED"/>
    <w:rsid w:val="00E57305"/>
    <w:rsid w:val="00E57C46"/>
    <w:rsid w:val="00E64812"/>
    <w:rsid w:val="00E65C6F"/>
    <w:rsid w:val="00E66A6A"/>
    <w:rsid w:val="00E676CA"/>
    <w:rsid w:val="00E67CF4"/>
    <w:rsid w:val="00E7294D"/>
    <w:rsid w:val="00E739A4"/>
    <w:rsid w:val="00E74D98"/>
    <w:rsid w:val="00E7722C"/>
    <w:rsid w:val="00E80CE3"/>
    <w:rsid w:val="00E911BC"/>
    <w:rsid w:val="00E9154B"/>
    <w:rsid w:val="00E97823"/>
    <w:rsid w:val="00EA0A83"/>
    <w:rsid w:val="00EA4581"/>
    <w:rsid w:val="00EA4688"/>
    <w:rsid w:val="00EB3360"/>
    <w:rsid w:val="00EB50DD"/>
    <w:rsid w:val="00EC123F"/>
    <w:rsid w:val="00EC277C"/>
    <w:rsid w:val="00EC27F0"/>
    <w:rsid w:val="00EC3B3D"/>
    <w:rsid w:val="00ED1771"/>
    <w:rsid w:val="00EE03B8"/>
    <w:rsid w:val="00EE07AA"/>
    <w:rsid w:val="00EE3A15"/>
    <w:rsid w:val="00EE7D29"/>
    <w:rsid w:val="00EF17DA"/>
    <w:rsid w:val="00EF20CC"/>
    <w:rsid w:val="00EF3801"/>
    <w:rsid w:val="00EF4766"/>
    <w:rsid w:val="00F1143F"/>
    <w:rsid w:val="00F215F0"/>
    <w:rsid w:val="00F2514B"/>
    <w:rsid w:val="00F2783C"/>
    <w:rsid w:val="00F31410"/>
    <w:rsid w:val="00F3330F"/>
    <w:rsid w:val="00F35839"/>
    <w:rsid w:val="00F36A56"/>
    <w:rsid w:val="00F42A07"/>
    <w:rsid w:val="00F620CD"/>
    <w:rsid w:val="00F626BD"/>
    <w:rsid w:val="00F65463"/>
    <w:rsid w:val="00F706A5"/>
    <w:rsid w:val="00F71EF2"/>
    <w:rsid w:val="00F72B34"/>
    <w:rsid w:val="00F75D1E"/>
    <w:rsid w:val="00F81926"/>
    <w:rsid w:val="00F82E2D"/>
    <w:rsid w:val="00F90B50"/>
    <w:rsid w:val="00F9224A"/>
    <w:rsid w:val="00F937BE"/>
    <w:rsid w:val="00F95EFC"/>
    <w:rsid w:val="00F97B79"/>
    <w:rsid w:val="00FA0AAF"/>
    <w:rsid w:val="00FA60EA"/>
    <w:rsid w:val="00FB1D57"/>
    <w:rsid w:val="00FB2865"/>
    <w:rsid w:val="00FB31D4"/>
    <w:rsid w:val="00FB44D1"/>
    <w:rsid w:val="00FC02C4"/>
    <w:rsid w:val="00FC12CE"/>
    <w:rsid w:val="00FC74B2"/>
    <w:rsid w:val="00FD0495"/>
    <w:rsid w:val="00FD156F"/>
    <w:rsid w:val="00FD3560"/>
    <w:rsid w:val="00FD63BE"/>
    <w:rsid w:val="00FD7E79"/>
    <w:rsid w:val="00FE4FA2"/>
    <w:rsid w:val="00FE5D92"/>
    <w:rsid w:val="00FF6CF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GB"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C65F4"/>
    <w:rPr>
      <w:sz w:val="22"/>
    </w:rPr>
  </w:style>
  <w:style w:type="paragraph" w:styleId="Titolo1">
    <w:name w:val="heading 1"/>
    <w:basedOn w:val="Normale"/>
    <w:next w:val="Normale"/>
    <w:link w:val="Titolo1Carattere"/>
    <w:uiPriority w:val="9"/>
    <w:qFormat/>
    <w:rsid w:val="000C65F4"/>
    <w:pPr>
      <w:spacing w:before="300" w:after="40"/>
      <w:jc w:val="left"/>
      <w:outlineLvl w:val="0"/>
    </w:pPr>
    <w:rPr>
      <w:smallCaps/>
      <w:spacing w:val="5"/>
      <w:sz w:val="32"/>
      <w:szCs w:val="32"/>
    </w:rPr>
  </w:style>
  <w:style w:type="paragraph" w:styleId="Titolo2">
    <w:name w:val="heading 2"/>
    <w:basedOn w:val="Normale"/>
    <w:next w:val="Normale"/>
    <w:link w:val="Titolo2Carattere"/>
    <w:uiPriority w:val="9"/>
    <w:semiHidden/>
    <w:unhideWhenUsed/>
    <w:qFormat/>
    <w:rsid w:val="000C65F4"/>
    <w:pPr>
      <w:spacing w:before="240" w:after="80"/>
      <w:jc w:val="left"/>
      <w:outlineLvl w:val="1"/>
    </w:pPr>
    <w:rPr>
      <w:smallCaps/>
      <w:spacing w:val="5"/>
      <w:sz w:val="28"/>
      <w:szCs w:val="28"/>
    </w:rPr>
  </w:style>
  <w:style w:type="paragraph" w:styleId="Titolo3">
    <w:name w:val="heading 3"/>
    <w:basedOn w:val="Normale"/>
    <w:next w:val="Normale"/>
    <w:link w:val="Titolo3Carattere"/>
    <w:uiPriority w:val="9"/>
    <w:semiHidden/>
    <w:unhideWhenUsed/>
    <w:qFormat/>
    <w:rsid w:val="000C65F4"/>
    <w:pPr>
      <w:spacing w:after="0"/>
      <w:jc w:val="left"/>
      <w:outlineLvl w:val="2"/>
    </w:pPr>
    <w:rPr>
      <w:smallCaps/>
      <w:spacing w:val="5"/>
      <w:sz w:val="24"/>
      <w:szCs w:val="24"/>
    </w:rPr>
  </w:style>
  <w:style w:type="paragraph" w:styleId="Titolo4">
    <w:name w:val="heading 4"/>
    <w:basedOn w:val="Normale"/>
    <w:next w:val="Normale"/>
    <w:link w:val="Titolo4Carattere"/>
    <w:uiPriority w:val="9"/>
    <w:semiHidden/>
    <w:unhideWhenUsed/>
    <w:qFormat/>
    <w:rsid w:val="000C65F4"/>
    <w:pPr>
      <w:spacing w:before="240" w:after="0"/>
      <w:jc w:val="left"/>
      <w:outlineLvl w:val="3"/>
    </w:pPr>
    <w:rPr>
      <w:smallCaps/>
      <w:spacing w:val="10"/>
      <w:szCs w:val="22"/>
    </w:rPr>
  </w:style>
  <w:style w:type="paragraph" w:styleId="Titolo5">
    <w:name w:val="heading 5"/>
    <w:basedOn w:val="Normale"/>
    <w:next w:val="Normale"/>
    <w:link w:val="Titolo5Carattere"/>
    <w:uiPriority w:val="9"/>
    <w:semiHidden/>
    <w:unhideWhenUsed/>
    <w:qFormat/>
    <w:rsid w:val="000C65F4"/>
    <w:pPr>
      <w:spacing w:before="200" w:after="0"/>
      <w:jc w:val="left"/>
      <w:outlineLvl w:val="4"/>
    </w:pPr>
    <w:rPr>
      <w:smallCaps/>
      <w:color w:val="943634" w:themeColor="accent2" w:themeShade="BF"/>
      <w:spacing w:val="10"/>
      <w:szCs w:val="26"/>
    </w:rPr>
  </w:style>
  <w:style w:type="paragraph" w:styleId="Titolo6">
    <w:name w:val="heading 6"/>
    <w:basedOn w:val="Normale"/>
    <w:next w:val="Normale"/>
    <w:link w:val="Titolo6Carattere"/>
    <w:uiPriority w:val="9"/>
    <w:semiHidden/>
    <w:unhideWhenUsed/>
    <w:qFormat/>
    <w:rsid w:val="000C65F4"/>
    <w:pPr>
      <w:spacing w:after="0"/>
      <w:jc w:val="left"/>
      <w:outlineLvl w:val="5"/>
    </w:pPr>
    <w:rPr>
      <w:smallCaps/>
      <w:color w:val="C0504D" w:themeColor="accent2"/>
      <w:spacing w:val="5"/>
    </w:rPr>
  </w:style>
  <w:style w:type="paragraph" w:styleId="Titolo7">
    <w:name w:val="heading 7"/>
    <w:basedOn w:val="Normale"/>
    <w:next w:val="Normale"/>
    <w:link w:val="Titolo7Carattere"/>
    <w:uiPriority w:val="9"/>
    <w:semiHidden/>
    <w:unhideWhenUsed/>
    <w:qFormat/>
    <w:rsid w:val="000C65F4"/>
    <w:pPr>
      <w:spacing w:after="0"/>
      <w:jc w:val="left"/>
      <w:outlineLvl w:val="6"/>
    </w:pPr>
    <w:rPr>
      <w:b/>
      <w:smallCaps/>
      <w:color w:val="C0504D" w:themeColor="accent2"/>
      <w:spacing w:val="10"/>
    </w:rPr>
  </w:style>
  <w:style w:type="paragraph" w:styleId="Titolo8">
    <w:name w:val="heading 8"/>
    <w:basedOn w:val="Normale"/>
    <w:next w:val="Normale"/>
    <w:link w:val="Titolo8Carattere"/>
    <w:uiPriority w:val="9"/>
    <w:semiHidden/>
    <w:unhideWhenUsed/>
    <w:qFormat/>
    <w:rsid w:val="000C65F4"/>
    <w:pPr>
      <w:spacing w:after="0"/>
      <w:jc w:val="left"/>
      <w:outlineLvl w:val="7"/>
    </w:pPr>
    <w:rPr>
      <w:b/>
      <w:i/>
      <w:smallCaps/>
      <w:color w:val="943634" w:themeColor="accent2" w:themeShade="BF"/>
    </w:rPr>
  </w:style>
  <w:style w:type="paragraph" w:styleId="Titolo9">
    <w:name w:val="heading 9"/>
    <w:basedOn w:val="Normale"/>
    <w:next w:val="Normale"/>
    <w:link w:val="Titolo9Carattere"/>
    <w:uiPriority w:val="9"/>
    <w:semiHidden/>
    <w:unhideWhenUsed/>
    <w:qFormat/>
    <w:rsid w:val="000C65F4"/>
    <w:pPr>
      <w:spacing w:after="0"/>
      <w:jc w:val="left"/>
      <w:outlineLvl w:val="8"/>
    </w:pPr>
    <w:rPr>
      <w:b/>
      <w:i/>
      <w:smallCaps/>
      <w:color w:val="622423" w:themeColor="accent2"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5D575C"/>
    <w:rPr>
      <w:rFonts w:ascii="Times New Roman" w:hAnsi="Times New Roman" w:cs="Times New Roman"/>
      <w:sz w:val="24"/>
      <w:szCs w:val="24"/>
    </w:rPr>
  </w:style>
  <w:style w:type="table" w:styleId="Grigliatabella">
    <w:name w:val="Table Grid"/>
    <w:basedOn w:val="Tabellanormale"/>
    <w:uiPriority w:val="59"/>
    <w:rsid w:val="005D57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ipertestuale">
    <w:name w:val="Hyperlink"/>
    <w:basedOn w:val="Carpredefinitoparagrafo"/>
    <w:uiPriority w:val="99"/>
    <w:unhideWhenUsed/>
    <w:rsid w:val="005D575C"/>
    <w:rPr>
      <w:color w:val="0000FF" w:themeColor="hyperlink"/>
      <w:u w:val="single"/>
    </w:rPr>
  </w:style>
  <w:style w:type="paragraph" w:styleId="Testonotaapidipagina">
    <w:name w:val="footnote text"/>
    <w:basedOn w:val="Normale"/>
    <w:link w:val="TestonotaapidipaginaCarattere"/>
    <w:uiPriority w:val="99"/>
    <w:semiHidden/>
    <w:unhideWhenUsed/>
    <w:rsid w:val="005D575C"/>
    <w:pPr>
      <w:spacing w:after="0" w:line="240" w:lineRule="auto"/>
    </w:pPr>
    <w:rPr>
      <w:sz w:val="20"/>
    </w:rPr>
  </w:style>
  <w:style w:type="character" w:customStyle="1" w:styleId="TestonotaapidipaginaCarattere">
    <w:name w:val="Testo nota a piè di pagina Carattere"/>
    <w:basedOn w:val="Carpredefinitoparagrafo"/>
    <w:link w:val="Testonotaapidipagina"/>
    <w:uiPriority w:val="99"/>
    <w:semiHidden/>
    <w:rsid w:val="005D575C"/>
    <w:rPr>
      <w:sz w:val="20"/>
      <w:szCs w:val="20"/>
    </w:rPr>
  </w:style>
  <w:style w:type="character" w:styleId="Rimandonotaapidipagina">
    <w:name w:val="footnote reference"/>
    <w:basedOn w:val="Carpredefinitoparagrafo"/>
    <w:uiPriority w:val="99"/>
    <w:semiHidden/>
    <w:unhideWhenUsed/>
    <w:rsid w:val="005D575C"/>
    <w:rPr>
      <w:vertAlign w:val="superscript"/>
    </w:rPr>
  </w:style>
  <w:style w:type="character" w:styleId="Collegamentovisitato">
    <w:name w:val="FollowedHyperlink"/>
    <w:basedOn w:val="Carpredefinitoparagrafo"/>
    <w:uiPriority w:val="99"/>
    <w:semiHidden/>
    <w:unhideWhenUsed/>
    <w:rsid w:val="00DA4BC7"/>
    <w:rPr>
      <w:color w:val="800080" w:themeColor="followedHyperlink"/>
      <w:u w:val="single"/>
    </w:rPr>
  </w:style>
  <w:style w:type="paragraph" w:customStyle="1" w:styleId="Default">
    <w:name w:val="Default"/>
    <w:rsid w:val="00497F52"/>
    <w:pPr>
      <w:autoSpaceDE w:val="0"/>
      <w:autoSpaceDN w:val="0"/>
      <w:adjustRightInd w:val="0"/>
      <w:spacing w:after="0" w:line="240" w:lineRule="auto"/>
    </w:pPr>
    <w:rPr>
      <w:rFonts w:ascii="Arial" w:hAnsi="Arial" w:cs="Arial"/>
      <w:color w:val="000000"/>
      <w:sz w:val="24"/>
      <w:szCs w:val="24"/>
    </w:rPr>
  </w:style>
  <w:style w:type="character" w:customStyle="1" w:styleId="notranslate">
    <w:name w:val="notranslate"/>
    <w:basedOn w:val="Carpredefinitoparagrafo"/>
    <w:rsid w:val="00BC2B89"/>
  </w:style>
  <w:style w:type="character" w:customStyle="1" w:styleId="Titolo1Carattere">
    <w:name w:val="Titolo 1 Carattere"/>
    <w:basedOn w:val="Carpredefinitoparagrafo"/>
    <w:link w:val="Titolo1"/>
    <w:uiPriority w:val="9"/>
    <w:rsid w:val="000C65F4"/>
    <w:rPr>
      <w:smallCaps/>
      <w:spacing w:val="5"/>
      <w:sz w:val="32"/>
      <w:szCs w:val="32"/>
    </w:rPr>
  </w:style>
  <w:style w:type="character" w:styleId="Enfasicorsivo">
    <w:name w:val="Emphasis"/>
    <w:uiPriority w:val="20"/>
    <w:qFormat/>
    <w:rsid w:val="000C65F4"/>
    <w:rPr>
      <w:b/>
      <w:i/>
      <w:spacing w:val="10"/>
    </w:rPr>
  </w:style>
  <w:style w:type="paragraph" w:styleId="Testonotadichiusura">
    <w:name w:val="endnote text"/>
    <w:basedOn w:val="Normale"/>
    <w:link w:val="TestonotadichiusuraCarattere"/>
    <w:uiPriority w:val="99"/>
    <w:semiHidden/>
    <w:unhideWhenUsed/>
    <w:rsid w:val="00CA7201"/>
    <w:pPr>
      <w:spacing w:after="0" w:line="240" w:lineRule="auto"/>
    </w:pPr>
    <w:rPr>
      <w:sz w:val="20"/>
    </w:rPr>
  </w:style>
  <w:style w:type="character" w:customStyle="1" w:styleId="TestonotadichiusuraCarattere">
    <w:name w:val="Testo nota di chiusura Carattere"/>
    <w:basedOn w:val="Carpredefinitoparagrafo"/>
    <w:link w:val="Testonotadichiusura"/>
    <w:uiPriority w:val="99"/>
    <w:semiHidden/>
    <w:rsid w:val="00CA7201"/>
    <w:rPr>
      <w:sz w:val="20"/>
      <w:szCs w:val="20"/>
    </w:rPr>
  </w:style>
  <w:style w:type="character" w:styleId="Rimandonotadichiusura">
    <w:name w:val="endnote reference"/>
    <w:basedOn w:val="Carpredefinitoparagrafo"/>
    <w:uiPriority w:val="99"/>
    <w:semiHidden/>
    <w:unhideWhenUsed/>
    <w:rsid w:val="00CA7201"/>
    <w:rPr>
      <w:vertAlign w:val="superscript"/>
    </w:rPr>
  </w:style>
  <w:style w:type="character" w:customStyle="1" w:styleId="normalbold">
    <w:name w:val="normalbold"/>
    <w:basedOn w:val="Carpredefinitoparagrafo"/>
    <w:rsid w:val="0015097E"/>
  </w:style>
  <w:style w:type="character" w:customStyle="1" w:styleId="normalitalic">
    <w:name w:val="normalitalic"/>
    <w:basedOn w:val="Carpredefinitoparagrafo"/>
    <w:rsid w:val="0015097E"/>
  </w:style>
  <w:style w:type="paragraph" w:styleId="Testofumetto">
    <w:name w:val="Balloon Text"/>
    <w:basedOn w:val="Normale"/>
    <w:link w:val="TestofumettoCarattere"/>
    <w:uiPriority w:val="99"/>
    <w:semiHidden/>
    <w:unhideWhenUsed/>
    <w:rsid w:val="0015097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5097E"/>
    <w:rPr>
      <w:rFonts w:ascii="Tahoma" w:hAnsi="Tahoma" w:cs="Tahoma"/>
      <w:sz w:val="16"/>
      <w:szCs w:val="16"/>
    </w:rPr>
  </w:style>
  <w:style w:type="character" w:customStyle="1" w:styleId="Titolo2Carattere">
    <w:name w:val="Titolo 2 Carattere"/>
    <w:basedOn w:val="Carpredefinitoparagrafo"/>
    <w:link w:val="Titolo2"/>
    <w:uiPriority w:val="9"/>
    <w:semiHidden/>
    <w:rsid w:val="000C65F4"/>
    <w:rPr>
      <w:smallCaps/>
      <w:spacing w:val="5"/>
      <w:sz w:val="28"/>
      <w:szCs w:val="28"/>
    </w:rPr>
  </w:style>
  <w:style w:type="character" w:customStyle="1" w:styleId="Titolo3Carattere">
    <w:name w:val="Titolo 3 Carattere"/>
    <w:basedOn w:val="Carpredefinitoparagrafo"/>
    <w:link w:val="Titolo3"/>
    <w:uiPriority w:val="9"/>
    <w:semiHidden/>
    <w:rsid w:val="000C65F4"/>
    <w:rPr>
      <w:smallCaps/>
      <w:spacing w:val="5"/>
      <w:sz w:val="24"/>
      <w:szCs w:val="24"/>
    </w:rPr>
  </w:style>
  <w:style w:type="character" w:customStyle="1" w:styleId="Titolo4Carattere">
    <w:name w:val="Titolo 4 Carattere"/>
    <w:basedOn w:val="Carpredefinitoparagrafo"/>
    <w:link w:val="Titolo4"/>
    <w:uiPriority w:val="9"/>
    <w:semiHidden/>
    <w:rsid w:val="000C65F4"/>
    <w:rPr>
      <w:smallCaps/>
      <w:spacing w:val="10"/>
      <w:sz w:val="22"/>
      <w:szCs w:val="22"/>
    </w:rPr>
  </w:style>
  <w:style w:type="character" w:customStyle="1" w:styleId="Titolo5Carattere">
    <w:name w:val="Titolo 5 Carattere"/>
    <w:basedOn w:val="Carpredefinitoparagrafo"/>
    <w:link w:val="Titolo5"/>
    <w:uiPriority w:val="9"/>
    <w:semiHidden/>
    <w:rsid w:val="000C65F4"/>
    <w:rPr>
      <w:smallCaps/>
      <w:color w:val="943634" w:themeColor="accent2" w:themeShade="BF"/>
      <w:spacing w:val="10"/>
      <w:sz w:val="22"/>
      <w:szCs w:val="26"/>
    </w:rPr>
  </w:style>
  <w:style w:type="character" w:customStyle="1" w:styleId="Titolo6Carattere">
    <w:name w:val="Titolo 6 Carattere"/>
    <w:basedOn w:val="Carpredefinitoparagrafo"/>
    <w:link w:val="Titolo6"/>
    <w:uiPriority w:val="9"/>
    <w:semiHidden/>
    <w:rsid w:val="000C65F4"/>
    <w:rPr>
      <w:smallCaps/>
      <w:color w:val="C0504D" w:themeColor="accent2"/>
      <w:spacing w:val="5"/>
      <w:sz w:val="22"/>
    </w:rPr>
  </w:style>
  <w:style w:type="character" w:customStyle="1" w:styleId="Titolo7Carattere">
    <w:name w:val="Titolo 7 Carattere"/>
    <w:basedOn w:val="Carpredefinitoparagrafo"/>
    <w:link w:val="Titolo7"/>
    <w:uiPriority w:val="9"/>
    <w:semiHidden/>
    <w:rsid w:val="000C65F4"/>
    <w:rPr>
      <w:b/>
      <w:smallCaps/>
      <w:color w:val="C0504D" w:themeColor="accent2"/>
      <w:spacing w:val="10"/>
    </w:rPr>
  </w:style>
  <w:style w:type="character" w:customStyle="1" w:styleId="Titolo8Carattere">
    <w:name w:val="Titolo 8 Carattere"/>
    <w:basedOn w:val="Carpredefinitoparagrafo"/>
    <w:link w:val="Titolo8"/>
    <w:uiPriority w:val="9"/>
    <w:semiHidden/>
    <w:rsid w:val="000C65F4"/>
    <w:rPr>
      <w:b/>
      <w:i/>
      <w:smallCaps/>
      <w:color w:val="943634" w:themeColor="accent2" w:themeShade="BF"/>
    </w:rPr>
  </w:style>
  <w:style w:type="character" w:customStyle="1" w:styleId="Titolo9Carattere">
    <w:name w:val="Titolo 9 Carattere"/>
    <w:basedOn w:val="Carpredefinitoparagrafo"/>
    <w:link w:val="Titolo9"/>
    <w:uiPriority w:val="9"/>
    <w:semiHidden/>
    <w:rsid w:val="000C65F4"/>
    <w:rPr>
      <w:b/>
      <w:i/>
      <w:smallCaps/>
      <w:color w:val="622423" w:themeColor="accent2" w:themeShade="7F"/>
    </w:rPr>
  </w:style>
  <w:style w:type="paragraph" w:styleId="Didascalia">
    <w:name w:val="caption"/>
    <w:basedOn w:val="Normale"/>
    <w:next w:val="Normale"/>
    <w:uiPriority w:val="35"/>
    <w:semiHidden/>
    <w:unhideWhenUsed/>
    <w:qFormat/>
    <w:rsid w:val="000C65F4"/>
    <w:rPr>
      <w:b/>
      <w:bCs/>
      <w:caps/>
      <w:sz w:val="16"/>
      <w:szCs w:val="18"/>
    </w:rPr>
  </w:style>
  <w:style w:type="paragraph" w:styleId="Titolo">
    <w:name w:val="Title"/>
    <w:basedOn w:val="Normale"/>
    <w:next w:val="Normale"/>
    <w:link w:val="TitoloCarattere"/>
    <w:uiPriority w:val="10"/>
    <w:qFormat/>
    <w:rsid w:val="000C65F4"/>
    <w:pPr>
      <w:pBdr>
        <w:top w:val="single" w:sz="12" w:space="1" w:color="C0504D" w:themeColor="accent2"/>
      </w:pBdr>
      <w:spacing w:line="240" w:lineRule="auto"/>
      <w:jc w:val="right"/>
    </w:pPr>
    <w:rPr>
      <w:smallCaps/>
      <w:sz w:val="48"/>
      <w:szCs w:val="48"/>
    </w:rPr>
  </w:style>
  <w:style w:type="character" w:customStyle="1" w:styleId="TitoloCarattere">
    <w:name w:val="Titolo Carattere"/>
    <w:basedOn w:val="Carpredefinitoparagrafo"/>
    <w:link w:val="Titolo"/>
    <w:uiPriority w:val="10"/>
    <w:rsid w:val="000C65F4"/>
    <w:rPr>
      <w:smallCaps/>
      <w:sz w:val="48"/>
      <w:szCs w:val="48"/>
    </w:rPr>
  </w:style>
  <w:style w:type="paragraph" w:styleId="Sottotitolo">
    <w:name w:val="Subtitle"/>
    <w:basedOn w:val="Normale"/>
    <w:next w:val="Normale"/>
    <w:link w:val="SottotitoloCarattere"/>
    <w:uiPriority w:val="11"/>
    <w:qFormat/>
    <w:rsid w:val="000C65F4"/>
    <w:pPr>
      <w:spacing w:after="720" w:line="240" w:lineRule="auto"/>
      <w:jc w:val="right"/>
    </w:pPr>
    <w:rPr>
      <w:rFonts w:asciiTheme="majorHAnsi" w:eastAsiaTheme="majorEastAsia" w:hAnsiTheme="majorHAnsi" w:cstheme="majorBidi"/>
      <w:szCs w:val="22"/>
    </w:rPr>
  </w:style>
  <w:style w:type="character" w:customStyle="1" w:styleId="SottotitoloCarattere">
    <w:name w:val="Sottotitolo Carattere"/>
    <w:basedOn w:val="Carpredefinitoparagrafo"/>
    <w:link w:val="Sottotitolo"/>
    <w:uiPriority w:val="11"/>
    <w:rsid w:val="000C65F4"/>
    <w:rPr>
      <w:rFonts w:asciiTheme="majorHAnsi" w:eastAsiaTheme="majorEastAsia" w:hAnsiTheme="majorHAnsi" w:cstheme="majorBidi"/>
      <w:szCs w:val="22"/>
    </w:rPr>
  </w:style>
  <w:style w:type="character" w:styleId="Enfasigrassetto">
    <w:name w:val="Strong"/>
    <w:uiPriority w:val="22"/>
    <w:qFormat/>
    <w:rsid w:val="000C65F4"/>
    <w:rPr>
      <w:b/>
      <w:color w:val="C0504D" w:themeColor="accent2"/>
    </w:rPr>
  </w:style>
  <w:style w:type="paragraph" w:styleId="Nessunaspaziatura">
    <w:name w:val="No Spacing"/>
    <w:basedOn w:val="Normale"/>
    <w:link w:val="NessunaspaziaturaCarattere"/>
    <w:uiPriority w:val="1"/>
    <w:qFormat/>
    <w:rsid w:val="001234D6"/>
    <w:pPr>
      <w:spacing w:after="0" w:line="240" w:lineRule="auto"/>
      <w:jc w:val="left"/>
    </w:pPr>
    <w:rPr>
      <w:sz w:val="20"/>
    </w:rPr>
  </w:style>
  <w:style w:type="character" w:customStyle="1" w:styleId="NessunaspaziaturaCarattere">
    <w:name w:val="Nessuna spaziatura Carattere"/>
    <w:basedOn w:val="Carpredefinitoparagrafo"/>
    <w:link w:val="Nessunaspaziatura"/>
    <w:uiPriority w:val="1"/>
    <w:rsid w:val="001234D6"/>
  </w:style>
  <w:style w:type="paragraph" w:styleId="Paragrafoelenco">
    <w:name w:val="List Paragraph"/>
    <w:basedOn w:val="Normale"/>
    <w:uiPriority w:val="34"/>
    <w:qFormat/>
    <w:rsid w:val="000C65F4"/>
    <w:pPr>
      <w:ind w:left="720"/>
      <w:contextualSpacing/>
    </w:pPr>
  </w:style>
  <w:style w:type="paragraph" w:styleId="Citazione">
    <w:name w:val="Quote"/>
    <w:basedOn w:val="Normale"/>
    <w:next w:val="Normale"/>
    <w:link w:val="CitazioneCarattere"/>
    <w:uiPriority w:val="29"/>
    <w:qFormat/>
    <w:rsid w:val="000C65F4"/>
    <w:rPr>
      <w:i/>
    </w:rPr>
  </w:style>
  <w:style w:type="character" w:customStyle="1" w:styleId="CitazioneCarattere">
    <w:name w:val="Citazione Carattere"/>
    <w:basedOn w:val="Carpredefinitoparagrafo"/>
    <w:link w:val="Citazione"/>
    <w:uiPriority w:val="29"/>
    <w:rsid w:val="000C65F4"/>
    <w:rPr>
      <w:i/>
    </w:rPr>
  </w:style>
  <w:style w:type="paragraph" w:styleId="Citazioneintensa">
    <w:name w:val="Intense Quote"/>
    <w:basedOn w:val="Normale"/>
    <w:next w:val="Normale"/>
    <w:link w:val="CitazioneintensaCarattere"/>
    <w:uiPriority w:val="30"/>
    <w:qFormat/>
    <w:rsid w:val="000C65F4"/>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CitazioneintensaCarattere">
    <w:name w:val="Citazione intensa Carattere"/>
    <w:basedOn w:val="Carpredefinitoparagrafo"/>
    <w:link w:val="Citazioneintensa"/>
    <w:uiPriority w:val="30"/>
    <w:rsid w:val="000C65F4"/>
    <w:rPr>
      <w:b/>
      <w:i/>
      <w:color w:val="FFFFFF" w:themeColor="background1"/>
      <w:shd w:val="clear" w:color="auto" w:fill="C0504D" w:themeFill="accent2"/>
    </w:rPr>
  </w:style>
  <w:style w:type="character" w:styleId="Enfasidelicata">
    <w:name w:val="Subtle Emphasis"/>
    <w:uiPriority w:val="19"/>
    <w:qFormat/>
    <w:rsid w:val="000C65F4"/>
    <w:rPr>
      <w:i/>
    </w:rPr>
  </w:style>
  <w:style w:type="character" w:styleId="Enfasiintensa">
    <w:name w:val="Intense Emphasis"/>
    <w:uiPriority w:val="21"/>
    <w:qFormat/>
    <w:rsid w:val="000C65F4"/>
    <w:rPr>
      <w:b/>
      <w:i/>
      <w:color w:val="C0504D" w:themeColor="accent2"/>
      <w:spacing w:val="10"/>
    </w:rPr>
  </w:style>
  <w:style w:type="character" w:styleId="Riferimentodelicato">
    <w:name w:val="Subtle Reference"/>
    <w:uiPriority w:val="31"/>
    <w:qFormat/>
    <w:rsid w:val="000C65F4"/>
    <w:rPr>
      <w:b/>
    </w:rPr>
  </w:style>
  <w:style w:type="character" w:styleId="Riferimentointenso">
    <w:name w:val="Intense Reference"/>
    <w:uiPriority w:val="32"/>
    <w:qFormat/>
    <w:rsid w:val="000C65F4"/>
    <w:rPr>
      <w:b/>
      <w:bCs/>
      <w:smallCaps/>
      <w:spacing w:val="5"/>
      <w:sz w:val="22"/>
      <w:szCs w:val="22"/>
      <w:u w:val="single"/>
    </w:rPr>
  </w:style>
  <w:style w:type="character" w:styleId="Titolodellibro">
    <w:name w:val="Book Title"/>
    <w:uiPriority w:val="33"/>
    <w:qFormat/>
    <w:rsid w:val="000C65F4"/>
    <w:rPr>
      <w:rFonts w:asciiTheme="majorHAnsi" w:eastAsiaTheme="majorEastAsia" w:hAnsiTheme="majorHAnsi" w:cstheme="majorBidi"/>
      <w:i/>
      <w:iCs/>
      <w:sz w:val="20"/>
      <w:szCs w:val="20"/>
    </w:rPr>
  </w:style>
  <w:style w:type="paragraph" w:styleId="Titolosommario">
    <w:name w:val="TOC Heading"/>
    <w:basedOn w:val="Titolo1"/>
    <w:next w:val="Normale"/>
    <w:uiPriority w:val="39"/>
    <w:semiHidden/>
    <w:unhideWhenUsed/>
    <w:qFormat/>
    <w:rsid w:val="000C65F4"/>
    <w:pPr>
      <w:outlineLvl w:val="9"/>
    </w:pPr>
    <w:rPr>
      <w:lang w:bidi="en-US"/>
    </w:rPr>
  </w:style>
  <w:style w:type="table" w:styleId="Sfondomedio1-Colore2">
    <w:name w:val="Medium Shading 1 Accent 2"/>
    <w:basedOn w:val="Tabellanormale"/>
    <w:uiPriority w:val="63"/>
    <w:rsid w:val="000C65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paragraph" w:styleId="Intestazione">
    <w:name w:val="header"/>
    <w:basedOn w:val="Normale"/>
    <w:link w:val="IntestazioneCarattere"/>
    <w:uiPriority w:val="99"/>
    <w:unhideWhenUsed/>
    <w:rsid w:val="00DB30B1"/>
    <w:pPr>
      <w:tabs>
        <w:tab w:val="center" w:pos="4513"/>
        <w:tab w:val="right" w:pos="9026"/>
      </w:tabs>
      <w:spacing w:after="0" w:line="240" w:lineRule="auto"/>
    </w:pPr>
  </w:style>
  <w:style w:type="character" w:customStyle="1" w:styleId="IntestazioneCarattere">
    <w:name w:val="Intestazione Carattere"/>
    <w:basedOn w:val="Carpredefinitoparagrafo"/>
    <w:link w:val="Intestazione"/>
    <w:uiPriority w:val="99"/>
    <w:rsid w:val="00DB30B1"/>
    <w:rPr>
      <w:sz w:val="22"/>
    </w:rPr>
  </w:style>
  <w:style w:type="paragraph" w:styleId="Pidipagina">
    <w:name w:val="footer"/>
    <w:basedOn w:val="Normale"/>
    <w:link w:val="PidipaginaCarattere"/>
    <w:uiPriority w:val="99"/>
    <w:unhideWhenUsed/>
    <w:rsid w:val="00DB30B1"/>
    <w:pPr>
      <w:tabs>
        <w:tab w:val="center" w:pos="4513"/>
        <w:tab w:val="right" w:pos="9026"/>
      </w:tabs>
      <w:spacing w:after="0" w:line="240" w:lineRule="auto"/>
    </w:pPr>
  </w:style>
  <w:style w:type="character" w:customStyle="1" w:styleId="PidipaginaCarattere">
    <w:name w:val="Piè di pagina Carattere"/>
    <w:basedOn w:val="Carpredefinitoparagrafo"/>
    <w:link w:val="Pidipagina"/>
    <w:uiPriority w:val="99"/>
    <w:rsid w:val="00DB30B1"/>
    <w:rPr>
      <w:sz w:val="22"/>
    </w:rPr>
  </w:style>
  <w:style w:type="character" w:styleId="Rimandocommento">
    <w:name w:val="annotation reference"/>
    <w:basedOn w:val="Carpredefinitoparagrafo"/>
    <w:uiPriority w:val="99"/>
    <w:semiHidden/>
    <w:unhideWhenUsed/>
    <w:rsid w:val="00BA5FE7"/>
    <w:rPr>
      <w:sz w:val="16"/>
      <w:szCs w:val="16"/>
    </w:rPr>
  </w:style>
  <w:style w:type="paragraph" w:styleId="Testocommento">
    <w:name w:val="annotation text"/>
    <w:basedOn w:val="Normale"/>
    <w:link w:val="TestocommentoCarattere"/>
    <w:uiPriority w:val="99"/>
    <w:semiHidden/>
    <w:unhideWhenUsed/>
    <w:rsid w:val="00BA5FE7"/>
    <w:pPr>
      <w:spacing w:line="240" w:lineRule="auto"/>
    </w:pPr>
    <w:rPr>
      <w:sz w:val="20"/>
    </w:rPr>
  </w:style>
  <w:style w:type="character" w:customStyle="1" w:styleId="TestocommentoCarattere">
    <w:name w:val="Testo commento Carattere"/>
    <w:basedOn w:val="Carpredefinitoparagrafo"/>
    <w:link w:val="Testocommento"/>
    <w:uiPriority w:val="99"/>
    <w:semiHidden/>
    <w:rsid w:val="00BA5FE7"/>
  </w:style>
  <w:style w:type="paragraph" w:styleId="Soggettocommento">
    <w:name w:val="annotation subject"/>
    <w:basedOn w:val="Testocommento"/>
    <w:next w:val="Testocommento"/>
    <w:link w:val="SoggettocommentoCarattere"/>
    <w:uiPriority w:val="99"/>
    <w:semiHidden/>
    <w:unhideWhenUsed/>
    <w:rsid w:val="00BA5FE7"/>
    <w:rPr>
      <w:b/>
      <w:bCs/>
    </w:rPr>
  </w:style>
  <w:style w:type="character" w:customStyle="1" w:styleId="SoggettocommentoCarattere">
    <w:name w:val="Soggetto commento Carattere"/>
    <w:basedOn w:val="TestocommentoCarattere"/>
    <w:link w:val="Soggettocommento"/>
    <w:uiPriority w:val="99"/>
    <w:semiHidden/>
    <w:rsid w:val="00BA5FE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GB"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65F4"/>
    <w:rPr>
      <w:sz w:val="22"/>
    </w:rPr>
  </w:style>
  <w:style w:type="paragraph" w:styleId="Heading1">
    <w:name w:val="heading 1"/>
    <w:basedOn w:val="Normal"/>
    <w:next w:val="Normal"/>
    <w:link w:val="Heading1Char"/>
    <w:uiPriority w:val="9"/>
    <w:qFormat/>
    <w:rsid w:val="000C65F4"/>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0C65F4"/>
    <w:pPr>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0C65F4"/>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0C65F4"/>
    <w:pPr>
      <w:spacing w:before="240" w:after="0"/>
      <w:jc w:val="left"/>
      <w:outlineLvl w:val="3"/>
    </w:pPr>
    <w:rPr>
      <w:smallCaps/>
      <w:spacing w:val="10"/>
      <w:szCs w:val="22"/>
    </w:rPr>
  </w:style>
  <w:style w:type="paragraph" w:styleId="Heading5">
    <w:name w:val="heading 5"/>
    <w:basedOn w:val="Normal"/>
    <w:next w:val="Normal"/>
    <w:link w:val="Heading5Char"/>
    <w:uiPriority w:val="9"/>
    <w:semiHidden/>
    <w:unhideWhenUsed/>
    <w:qFormat/>
    <w:rsid w:val="000C65F4"/>
    <w:pPr>
      <w:spacing w:before="200" w:after="0"/>
      <w:jc w:val="left"/>
      <w:outlineLvl w:val="4"/>
    </w:pPr>
    <w:rPr>
      <w:smallCaps/>
      <w:color w:val="943634" w:themeColor="accent2" w:themeShade="BF"/>
      <w:spacing w:val="10"/>
      <w:szCs w:val="26"/>
    </w:rPr>
  </w:style>
  <w:style w:type="paragraph" w:styleId="Heading6">
    <w:name w:val="heading 6"/>
    <w:basedOn w:val="Normal"/>
    <w:next w:val="Normal"/>
    <w:link w:val="Heading6Char"/>
    <w:uiPriority w:val="9"/>
    <w:semiHidden/>
    <w:unhideWhenUsed/>
    <w:qFormat/>
    <w:rsid w:val="000C65F4"/>
    <w:pPr>
      <w:spacing w:after="0"/>
      <w:jc w:val="left"/>
      <w:outlineLvl w:val="5"/>
    </w:pPr>
    <w:rPr>
      <w:smallCaps/>
      <w:color w:val="C0504D" w:themeColor="accent2"/>
      <w:spacing w:val="5"/>
    </w:rPr>
  </w:style>
  <w:style w:type="paragraph" w:styleId="Heading7">
    <w:name w:val="heading 7"/>
    <w:basedOn w:val="Normal"/>
    <w:next w:val="Normal"/>
    <w:link w:val="Heading7Char"/>
    <w:uiPriority w:val="9"/>
    <w:semiHidden/>
    <w:unhideWhenUsed/>
    <w:qFormat/>
    <w:rsid w:val="000C65F4"/>
    <w:pPr>
      <w:spacing w:after="0"/>
      <w:jc w:val="left"/>
      <w:outlineLvl w:val="6"/>
    </w:pPr>
    <w:rPr>
      <w:b/>
      <w:smallCaps/>
      <w:color w:val="C0504D" w:themeColor="accent2"/>
      <w:spacing w:val="10"/>
    </w:rPr>
  </w:style>
  <w:style w:type="paragraph" w:styleId="Heading8">
    <w:name w:val="heading 8"/>
    <w:basedOn w:val="Normal"/>
    <w:next w:val="Normal"/>
    <w:link w:val="Heading8Char"/>
    <w:uiPriority w:val="9"/>
    <w:semiHidden/>
    <w:unhideWhenUsed/>
    <w:qFormat/>
    <w:rsid w:val="000C65F4"/>
    <w:pPr>
      <w:spacing w:after="0"/>
      <w:jc w:val="left"/>
      <w:outlineLvl w:val="7"/>
    </w:pPr>
    <w:rPr>
      <w:b/>
      <w:i/>
      <w:smallCaps/>
      <w:color w:val="943634" w:themeColor="accent2" w:themeShade="BF"/>
    </w:rPr>
  </w:style>
  <w:style w:type="paragraph" w:styleId="Heading9">
    <w:name w:val="heading 9"/>
    <w:basedOn w:val="Normal"/>
    <w:next w:val="Normal"/>
    <w:link w:val="Heading9Char"/>
    <w:uiPriority w:val="9"/>
    <w:semiHidden/>
    <w:unhideWhenUsed/>
    <w:qFormat/>
    <w:rsid w:val="000C65F4"/>
    <w:pPr>
      <w:spacing w:after="0"/>
      <w:jc w:val="left"/>
      <w:outlineLvl w:val="8"/>
    </w:pPr>
    <w:rPr>
      <w:b/>
      <w:i/>
      <w:smallCaps/>
      <w:color w:val="622423"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D575C"/>
    <w:rPr>
      <w:rFonts w:ascii="Times New Roman" w:hAnsi="Times New Roman" w:cs="Times New Roman"/>
      <w:sz w:val="24"/>
      <w:szCs w:val="24"/>
    </w:rPr>
  </w:style>
  <w:style w:type="table" w:styleId="TableGrid">
    <w:name w:val="Table Grid"/>
    <w:basedOn w:val="TableNormal"/>
    <w:uiPriority w:val="59"/>
    <w:rsid w:val="005D57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D575C"/>
    <w:rPr>
      <w:color w:val="0000FF" w:themeColor="hyperlink"/>
      <w:u w:val="single"/>
    </w:rPr>
  </w:style>
  <w:style w:type="paragraph" w:styleId="FootnoteText">
    <w:name w:val="footnote text"/>
    <w:basedOn w:val="Normal"/>
    <w:link w:val="FootnoteTextChar"/>
    <w:uiPriority w:val="99"/>
    <w:semiHidden/>
    <w:unhideWhenUsed/>
    <w:rsid w:val="005D575C"/>
    <w:pPr>
      <w:spacing w:after="0" w:line="240" w:lineRule="auto"/>
    </w:pPr>
    <w:rPr>
      <w:sz w:val="20"/>
    </w:rPr>
  </w:style>
  <w:style w:type="character" w:customStyle="1" w:styleId="FootnoteTextChar">
    <w:name w:val="Footnote Text Char"/>
    <w:basedOn w:val="DefaultParagraphFont"/>
    <w:link w:val="FootnoteText"/>
    <w:uiPriority w:val="99"/>
    <w:semiHidden/>
    <w:rsid w:val="005D575C"/>
    <w:rPr>
      <w:sz w:val="20"/>
      <w:szCs w:val="20"/>
    </w:rPr>
  </w:style>
  <w:style w:type="character" w:styleId="FootnoteReference">
    <w:name w:val="footnote reference"/>
    <w:basedOn w:val="DefaultParagraphFont"/>
    <w:uiPriority w:val="99"/>
    <w:semiHidden/>
    <w:unhideWhenUsed/>
    <w:rsid w:val="005D575C"/>
    <w:rPr>
      <w:vertAlign w:val="superscript"/>
    </w:rPr>
  </w:style>
  <w:style w:type="character" w:styleId="FollowedHyperlink">
    <w:name w:val="FollowedHyperlink"/>
    <w:basedOn w:val="DefaultParagraphFont"/>
    <w:uiPriority w:val="99"/>
    <w:semiHidden/>
    <w:unhideWhenUsed/>
    <w:rsid w:val="00DA4BC7"/>
    <w:rPr>
      <w:color w:val="800080" w:themeColor="followedHyperlink"/>
      <w:u w:val="single"/>
    </w:rPr>
  </w:style>
  <w:style w:type="paragraph" w:customStyle="1" w:styleId="Default">
    <w:name w:val="Default"/>
    <w:rsid w:val="00497F52"/>
    <w:pPr>
      <w:autoSpaceDE w:val="0"/>
      <w:autoSpaceDN w:val="0"/>
      <w:adjustRightInd w:val="0"/>
      <w:spacing w:after="0" w:line="240" w:lineRule="auto"/>
    </w:pPr>
    <w:rPr>
      <w:rFonts w:ascii="Arial" w:hAnsi="Arial" w:cs="Arial"/>
      <w:color w:val="000000"/>
      <w:sz w:val="24"/>
      <w:szCs w:val="24"/>
    </w:rPr>
  </w:style>
  <w:style w:type="character" w:customStyle="1" w:styleId="notranslate">
    <w:name w:val="notranslate"/>
    <w:basedOn w:val="DefaultParagraphFont"/>
    <w:rsid w:val="00BC2B89"/>
  </w:style>
  <w:style w:type="character" w:customStyle="1" w:styleId="Heading1Char">
    <w:name w:val="Heading 1 Char"/>
    <w:basedOn w:val="DefaultParagraphFont"/>
    <w:link w:val="Heading1"/>
    <w:uiPriority w:val="9"/>
    <w:rsid w:val="000C65F4"/>
    <w:rPr>
      <w:smallCaps/>
      <w:spacing w:val="5"/>
      <w:sz w:val="32"/>
      <w:szCs w:val="32"/>
    </w:rPr>
  </w:style>
  <w:style w:type="character" w:styleId="Emphasis">
    <w:name w:val="Emphasis"/>
    <w:uiPriority w:val="20"/>
    <w:qFormat/>
    <w:rsid w:val="000C65F4"/>
    <w:rPr>
      <w:b/>
      <w:i/>
      <w:spacing w:val="10"/>
    </w:rPr>
  </w:style>
  <w:style w:type="paragraph" w:styleId="EndnoteText">
    <w:name w:val="endnote text"/>
    <w:basedOn w:val="Normal"/>
    <w:link w:val="EndnoteTextChar"/>
    <w:uiPriority w:val="99"/>
    <w:semiHidden/>
    <w:unhideWhenUsed/>
    <w:rsid w:val="00CA7201"/>
    <w:pPr>
      <w:spacing w:after="0" w:line="240" w:lineRule="auto"/>
    </w:pPr>
    <w:rPr>
      <w:sz w:val="20"/>
    </w:rPr>
  </w:style>
  <w:style w:type="character" w:customStyle="1" w:styleId="EndnoteTextChar">
    <w:name w:val="Endnote Text Char"/>
    <w:basedOn w:val="DefaultParagraphFont"/>
    <w:link w:val="EndnoteText"/>
    <w:uiPriority w:val="99"/>
    <w:semiHidden/>
    <w:rsid w:val="00CA7201"/>
    <w:rPr>
      <w:sz w:val="20"/>
      <w:szCs w:val="20"/>
    </w:rPr>
  </w:style>
  <w:style w:type="character" w:styleId="EndnoteReference">
    <w:name w:val="endnote reference"/>
    <w:basedOn w:val="DefaultParagraphFont"/>
    <w:uiPriority w:val="99"/>
    <w:semiHidden/>
    <w:unhideWhenUsed/>
    <w:rsid w:val="00CA7201"/>
    <w:rPr>
      <w:vertAlign w:val="superscript"/>
    </w:rPr>
  </w:style>
  <w:style w:type="character" w:customStyle="1" w:styleId="normalbold">
    <w:name w:val="normalbold"/>
    <w:basedOn w:val="DefaultParagraphFont"/>
    <w:rsid w:val="0015097E"/>
  </w:style>
  <w:style w:type="character" w:customStyle="1" w:styleId="normalitalic">
    <w:name w:val="normalitalic"/>
    <w:basedOn w:val="DefaultParagraphFont"/>
    <w:rsid w:val="0015097E"/>
  </w:style>
  <w:style w:type="paragraph" w:styleId="BalloonText">
    <w:name w:val="Balloon Text"/>
    <w:basedOn w:val="Normal"/>
    <w:link w:val="BalloonTextChar"/>
    <w:uiPriority w:val="99"/>
    <w:semiHidden/>
    <w:unhideWhenUsed/>
    <w:rsid w:val="001509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097E"/>
    <w:rPr>
      <w:rFonts w:ascii="Tahoma" w:hAnsi="Tahoma" w:cs="Tahoma"/>
      <w:sz w:val="16"/>
      <w:szCs w:val="16"/>
    </w:rPr>
  </w:style>
  <w:style w:type="character" w:customStyle="1" w:styleId="Heading2Char">
    <w:name w:val="Heading 2 Char"/>
    <w:basedOn w:val="DefaultParagraphFont"/>
    <w:link w:val="Heading2"/>
    <w:uiPriority w:val="9"/>
    <w:semiHidden/>
    <w:rsid w:val="000C65F4"/>
    <w:rPr>
      <w:smallCaps/>
      <w:spacing w:val="5"/>
      <w:sz w:val="28"/>
      <w:szCs w:val="28"/>
    </w:rPr>
  </w:style>
  <w:style w:type="character" w:customStyle="1" w:styleId="Heading3Char">
    <w:name w:val="Heading 3 Char"/>
    <w:basedOn w:val="DefaultParagraphFont"/>
    <w:link w:val="Heading3"/>
    <w:uiPriority w:val="9"/>
    <w:semiHidden/>
    <w:rsid w:val="000C65F4"/>
    <w:rPr>
      <w:smallCaps/>
      <w:spacing w:val="5"/>
      <w:sz w:val="24"/>
      <w:szCs w:val="24"/>
    </w:rPr>
  </w:style>
  <w:style w:type="character" w:customStyle="1" w:styleId="Heading4Char">
    <w:name w:val="Heading 4 Char"/>
    <w:basedOn w:val="DefaultParagraphFont"/>
    <w:link w:val="Heading4"/>
    <w:uiPriority w:val="9"/>
    <w:semiHidden/>
    <w:rsid w:val="000C65F4"/>
    <w:rPr>
      <w:smallCaps/>
      <w:spacing w:val="10"/>
      <w:sz w:val="22"/>
      <w:szCs w:val="22"/>
    </w:rPr>
  </w:style>
  <w:style w:type="character" w:customStyle="1" w:styleId="Heading5Char">
    <w:name w:val="Heading 5 Char"/>
    <w:basedOn w:val="DefaultParagraphFont"/>
    <w:link w:val="Heading5"/>
    <w:uiPriority w:val="9"/>
    <w:semiHidden/>
    <w:rsid w:val="000C65F4"/>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rsid w:val="000C65F4"/>
    <w:rPr>
      <w:smallCaps/>
      <w:color w:val="C0504D" w:themeColor="accent2"/>
      <w:spacing w:val="5"/>
      <w:sz w:val="22"/>
    </w:rPr>
  </w:style>
  <w:style w:type="character" w:customStyle="1" w:styleId="Heading7Char">
    <w:name w:val="Heading 7 Char"/>
    <w:basedOn w:val="DefaultParagraphFont"/>
    <w:link w:val="Heading7"/>
    <w:uiPriority w:val="9"/>
    <w:semiHidden/>
    <w:rsid w:val="000C65F4"/>
    <w:rPr>
      <w:b/>
      <w:smallCaps/>
      <w:color w:val="C0504D" w:themeColor="accent2"/>
      <w:spacing w:val="10"/>
    </w:rPr>
  </w:style>
  <w:style w:type="character" w:customStyle="1" w:styleId="Heading8Char">
    <w:name w:val="Heading 8 Char"/>
    <w:basedOn w:val="DefaultParagraphFont"/>
    <w:link w:val="Heading8"/>
    <w:uiPriority w:val="9"/>
    <w:semiHidden/>
    <w:rsid w:val="000C65F4"/>
    <w:rPr>
      <w:b/>
      <w:i/>
      <w:smallCaps/>
      <w:color w:val="943634" w:themeColor="accent2" w:themeShade="BF"/>
    </w:rPr>
  </w:style>
  <w:style w:type="character" w:customStyle="1" w:styleId="Heading9Char">
    <w:name w:val="Heading 9 Char"/>
    <w:basedOn w:val="DefaultParagraphFont"/>
    <w:link w:val="Heading9"/>
    <w:uiPriority w:val="9"/>
    <w:semiHidden/>
    <w:rsid w:val="000C65F4"/>
    <w:rPr>
      <w:b/>
      <w:i/>
      <w:smallCaps/>
      <w:color w:val="622423" w:themeColor="accent2" w:themeShade="7F"/>
    </w:rPr>
  </w:style>
  <w:style w:type="paragraph" w:styleId="Caption">
    <w:name w:val="caption"/>
    <w:basedOn w:val="Normal"/>
    <w:next w:val="Normal"/>
    <w:uiPriority w:val="35"/>
    <w:semiHidden/>
    <w:unhideWhenUsed/>
    <w:qFormat/>
    <w:rsid w:val="000C65F4"/>
    <w:rPr>
      <w:b/>
      <w:bCs/>
      <w:caps/>
      <w:sz w:val="16"/>
      <w:szCs w:val="18"/>
    </w:rPr>
  </w:style>
  <w:style w:type="paragraph" w:styleId="Title">
    <w:name w:val="Title"/>
    <w:basedOn w:val="Normal"/>
    <w:next w:val="Normal"/>
    <w:link w:val="TitleChar"/>
    <w:uiPriority w:val="10"/>
    <w:qFormat/>
    <w:rsid w:val="000C65F4"/>
    <w:pPr>
      <w:pBdr>
        <w:top w:val="single" w:sz="12" w:space="1" w:color="C0504D"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0C65F4"/>
    <w:rPr>
      <w:smallCaps/>
      <w:sz w:val="48"/>
      <w:szCs w:val="48"/>
    </w:rPr>
  </w:style>
  <w:style w:type="paragraph" w:styleId="Subtitle">
    <w:name w:val="Subtitle"/>
    <w:basedOn w:val="Normal"/>
    <w:next w:val="Normal"/>
    <w:link w:val="SubtitleChar"/>
    <w:uiPriority w:val="11"/>
    <w:qFormat/>
    <w:rsid w:val="000C65F4"/>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0C65F4"/>
    <w:rPr>
      <w:rFonts w:asciiTheme="majorHAnsi" w:eastAsiaTheme="majorEastAsia" w:hAnsiTheme="majorHAnsi" w:cstheme="majorBidi"/>
      <w:szCs w:val="22"/>
    </w:rPr>
  </w:style>
  <w:style w:type="character" w:styleId="Strong">
    <w:name w:val="Strong"/>
    <w:uiPriority w:val="22"/>
    <w:qFormat/>
    <w:rsid w:val="000C65F4"/>
    <w:rPr>
      <w:b/>
      <w:color w:val="C0504D" w:themeColor="accent2"/>
    </w:rPr>
  </w:style>
  <w:style w:type="paragraph" w:styleId="NoSpacing">
    <w:name w:val="No Spacing"/>
    <w:basedOn w:val="Normal"/>
    <w:link w:val="NoSpacingChar"/>
    <w:uiPriority w:val="1"/>
    <w:qFormat/>
    <w:rsid w:val="001234D6"/>
    <w:pPr>
      <w:spacing w:after="0" w:line="240" w:lineRule="auto"/>
      <w:jc w:val="left"/>
    </w:pPr>
    <w:rPr>
      <w:sz w:val="20"/>
    </w:rPr>
  </w:style>
  <w:style w:type="character" w:customStyle="1" w:styleId="NoSpacingChar">
    <w:name w:val="No Spacing Char"/>
    <w:basedOn w:val="DefaultParagraphFont"/>
    <w:link w:val="NoSpacing"/>
    <w:uiPriority w:val="1"/>
    <w:rsid w:val="001234D6"/>
  </w:style>
  <w:style w:type="paragraph" w:styleId="ListParagraph">
    <w:name w:val="List Paragraph"/>
    <w:basedOn w:val="Normal"/>
    <w:uiPriority w:val="34"/>
    <w:qFormat/>
    <w:rsid w:val="000C65F4"/>
    <w:pPr>
      <w:ind w:left="720"/>
      <w:contextualSpacing/>
    </w:pPr>
  </w:style>
  <w:style w:type="paragraph" w:styleId="Quote">
    <w:name w:val="Quote"/>
    <w:basedOn w:val="Normal"/>
    <w:next w:val="Normal"/>
    <w:link w:val="QuoteChar"/>
    <w:uiPriority w:val="29"/>
    <w:qFormat/>
    <w:rsid w:val="000C65F4"/>
    <w:rPr>
      <w:i/>
    </w:rPr>
  </w:style>
  <w:style w:type="character" w:customStyle="1" w:styleId="QuoteChar">
    <w:name w:val="Quote Char"/>
    <w:basedOn w:val="DefaultParagraphFont"/>
    <w:link w:val="Quote"/>
    <w:uiPriority w:val="29"/>
    <w:rsid w:val="000C65F4"/>
    <w:rPr>
      <w:i/>
    </w:rPr>
  </w:style>
  <w:style w:type="paragraph" w:styleId="IntenseQuote">
    <w:name w:val="Intense Quote"/>
    <w:basedOn w:val="Normal"/>
    <w:next w:val="Normal"/>
    <w:link w:val="IntenseQuoteChar"/>
    <w:uiPriority w:val="30"/>
    <w:qFormat/>
    <w:rsid w:val="000C65F4"/>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0C65F4"/>
    <w:rPr>
      <w:b/>
      <w:i/>
      <w:color w:val="FFFFFF" w:themeColor="background1"/>
      <w:shd w:val="clear" w:color="auto" w:fill="C0504D" w:themeFill="accent2"/>
    </w:rPr>
  </w:style>
  <w:style w:type="character" w:styleId="SubtleEmphasis">
    <w:name w:val="Subtle Emphasis"/>
    <w:uiPriority w:val="19"/>
    <w:qFormat/>
    <w:rsid w:val="000C65F4"/>
    <w:rPr>
      <w:i/>
    </w:rPr>
  </w:style>
  <w:style w:type="character" w:styleId="IntenseEmphasis">
    <w:name w:val="Intense Emphasis"/>
    <w:uiPriority w:val="21"/>
    <w:qFormat/>
    <w:rsid w:val="000C65F4"/>
    <w:rPr>
      <w:b/>
      <w:i/>
      <w:color w:val="C0504D" w:themeColor="accent2"/>
      <w:spacing w:val="10"/>
    </w:rPr>
  </w:style>
  <w:style w:type="character" w:styleId="SubtleReference">
    <w:name w:val="Subtle Reference"/>
    <w:uiPriority w:val="31"/>
    <w:qFormat/>
    <w:rsid w:val="000C65F4"/>
    <w:rPr>
      <w:b/>
    </w:rPr>
  </w:style>
  <w:style w:type="character" w:styleId="IntenseReference">
    <w:name w:val="Intense Reference"/>
    <w:uiPriority w:val="32"/>
    <w:qFormat/>
    <w:rsid w:val="000C65F4"/>
    <w:rPr>
      <w:b/>
      <w:bCs/>
      <w:smallCaps/>
      <w:spacing w:val="5"/>
      <w:sz w:val="22"/>
      <w:szCs w:val="22"/>
      <w:u w:val="single"/>
    </w:rPr>
  </w:style>
  <w:style w:type="character" w:styleId="BookTitle">
    <w:name w:val="Book Title"/>
    <w:uiPriority w:val="33"/>
    <w:qFormat/>
    <w:rsid w:val="000C65F4"/>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0C65F4"/>
    <w:pPr>
      <w:outlineLvl w:val="9"/>
    </w:pPr>
    <w:rPr>
      <w:lang w:bidi="en-US"/>
    </w:rPr>
  </w:style>
  <w:style w:type="table" w:styleId="MediumShading1-Accent2">
    <w:name w:val="Medium Shading 1 Accent 2"/>
    <w:basedOn w:val="TableNormal"/>
    <w:uiPriority w:val="63"/>
    <w:rsid w:val="000C65F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paragraph" w:styleId="Header">
    <w:name w:val="header"/>
    <w:basedOn w:val="Normal"/>
    <w:link w:val="HeaderChar"/>
    <w:uiPriority w:val="99"/>
    <w:unhideWhenUsed/>
    <w:rsid w:val="00DB30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30B1"/>
    <w:rPr>
      <w:sz w:val="22"/>
    </w:rPr>
  </w:style>
  <w:style w:type="paragraph" w:styleId="Footer">
    <w:name w:val="footer"/>
    <w:basedOn w:val="Normal"/>
    <w:link w:val="FooterChar"/>
    <w:uiPriority w:val="99"/>
    <w:unhideWhenUsed/>
    <w:rsid w:val="00DB30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30B1"/>
    <w:rPr>
      <w:sz w:val="22"/>
    </w:rPr>
  </w:style>
  <w:style w:type="character" w:styleId="CommentReference">
    <w:name w:val="annotation reference"/>
    <w:basedOn w:val="DefaultParagraphFont"/>
    <w:uiPriority w:val="99"/>
    <w:semiHidden/>
    <w:unhideWhenUsed/>
    <w:rsid w:val="00BA5FE7"/>
    <w:rPr>
      <w:sz w:val="16"/>
      <w:szCs w:val="16"/>
    </w:rPr>
  </w:style>
  <w:style w:type="paragraph" w:styleId="CommentText">
    <w:name w:val="annotation text"/>
    <w:basedOn w:val="Normal"/>
    <w:link w:val="CommentTextChar"/>
    <w:uiPriority w:val="99"/>
    <w:semiHidden/>
    <w:unhideWhenUsed/>
    <w:rsid w:val="00BA5FE7"/>
    <w:pPr>
      <w:spacing w:line="240" w:lineRule="auto"/>
    </w:pPr>
    <w:rPr>
      <w:sz w:val="20"/>
    </w:rPr>
  </w:style>
  <w:style w:type="character" w:customStyle="1" w:styleId="CommentTextChar">
    <w:name w:val="Comment Text Char"/>
    <w:basedOn w:val="DefaultParagraphFont"/>
    <w:link w:val="CommentText"/>
    <w:uiPriority w:val="99"/>
    <w:semiHidden/>
    <w:rsid w:val="00BA5FE7"/>
  </w:style>
  <w:style w:type="paragraph" w:styleId="CommentSubject">
    <w:name w:val="annotation subject"/>
    <w:basedOn w:val="CommentText"/>
    <w:next w:val="CommentText"/>
    <w:link w:val="CommentSubjectChar"/>
    <w:uiPriority w:val="99"/>
    <w:semiHidden/>
    <w:unhideWhenUsed/>
    <w:rsid w:val="00BA5FE7"/>
    <w:rPr>
      <w:b/>
      <w:bCs/>
    </w:rPr>
  </w:style>
  <w:style w:type="character" w:customStyle="1" w:styleId="CommentSubjectChar">
    <w:name w:val="Comment Subject Char"/>
    <w:basedOn w:val="CommentTextChar"/>
    <w:link w:val="CommentSubject"/>
    <w:uiPriority w:val="99"/>
    <w:semiHidden/>
    <w:rsid w:val="00BA5FE7"/>
    <w:rPr>
      <w:b/>
      <w:bCs/>
    </w:rPr>
  </w:style>
</w:styles>
</file>

<file path=word/webSettings.xml><?xml version="1.0" encoding="utf-8"?>
<w:webSettings xmlns:r="http://schemas.openxmlformats.org/officeDocument/2006/relationships" xmlns:w="http://schemas.openxmlformats.org/wordprocessingml/2006/main">
  <w:divs>
    <w:div w:id="134566400">
      <w:bodyDiv w:val="1"/>
      <w:marLeft w:val="0"/>
      <w:marRight w:val="0"/>
      <w:marTop w:val="0"/>
      <w:marBottom w:val="0"/>
      <w:divBdr>
        <w:top w:val="none" w:sz="0" w:space="0" w:color="auto"/>
        <w:left w:val="none" w:sz="0" w:space="0" w:color="auto"/>
        <w:bottom w:val="none" w:sz="0" w:space="0" w:color="auto"/>
        <w:right w:val="none" w:sz="0" w:space="0" w:color="auto"/>
      </w:divBdr>
      <w:divsChild>
        <w:div w:id="127627728">
          <w:marLeft w:val="0"/>
          <w:marRight w:val="0"/>
          <w:marTop w:val="0"/>
          <w:marBottom w:val="0"/>
          <w:divBdr>
            <w:top w:val="none" w:sz="0" w:space="0" w:color="auto"/>
            <w:left w:val="none" w:sz="0" w:space="0" w:color="auto"/>
            <w:bottom w:val="none" w:sz="0" w:space="0" w:color="auto"/>
            <w:right w:val="none" w:sz="0" w:space="0" w:color="auto"/>
          </w:divBdr>
        </w:div>
        <w:div w:id="1625428841">
          <w:marLeft w:val="0"/>
          <w:marRight w:val="0"/>
          <w:marTop w:val="0"/>
          <w:marBottom w:val="0"/>
          <w:divBdr>
            <w:top w:val="none" w:sz="0" w:space="0" w:color="auto"/>
            <w:left w:val="none" w:sz="0" w:space="0" w:color="auto"/>
            <w:bottom w:val="none" w:sz="0" w:space="0" w:color="auto"/>
            <w:right w:val="none" w:sz="0" w:space="0" w:color="auto"/>
          </w:divBdr>
        </w:div>
        <w:div w:id="825124807">
          <w:marLeft w:val="0"/>
          <w:marRight w:val="0"/>
          <w:marTop w:val="0"/>
          <w:marBottom w:val="0"/>
          <w:divBdr>
            <w:top w:val="none" w:sz="0" w:space="0" w:color="auto"/>
            <w:left w:val="none" w:sz="0" w:space="0" w:color="auto"/>
            <w:bottom w:val="none" w:sz="0" w:space="0" w:color="auto"/>
            <w:right w:val="none" w:sz="0" w:space="0" w:color="auto"/>
          </w:divBdr>
        </w:div>
        <w:div w:id="1507092329">
          <w:marLeft w:val="0"/>
          <w:marRight w:val="0"/>
          <w:marTop w:val="0"/>
          <w:marBottom w:val="0"/>
          <w:divBdr>
            <w:top w:val="none" w:sz="0" w:space="0" w:color="auto"/>
            <w:left w:val="none" w:sz="0" w:space="0" w:color="auto"/>
            <w:bottom w:val="none" w:sz="0" w:space="0" w:color="auto"/>
            <w:right w:val="none" w:sz="0" w:space="0" w:color="auto"/>
          </w:divBdr>
        </w:div>
        <w:div w:id="1010565568">
          <w:marLeft w:val="0"/>
          <w:marRight w:val="0"/>
          <w:marTop w:val="0"/>
          <w:marBottom w:val="0"/>
          <w:divBdr>
            <w:top w:val="none" w:sz="0" w:space="0" w:color="auto"/>
            <w:left w:val="none" w:sz="0" w:space="0" w:color="auto"/>
            <w:bottom w:val="none" w:sz="0" w:space="0" w:color="auto"/>
            <w:right w:val="none" w:sz="0" w:space="0" w:color="auto"/>
          </w:divBdr>
        </w:div>
        <w:div w:id="590504024">
          <w:marLeft w:val="0"/>
          <w:marRight w:val="0"/>
          <w:marTop w:val="0"/>
          <w:marBottom w:val="0"/>
          <w:divBdr>
            <w:top w:val="none" w:sz="0" w:space="0" w:color="auto"/>
            <w:left w:val="none" w:sz="0" w:space="0" w:color="auto"/>
            <w:bottom w:val="none" w:sz="0" w:space="0" w:color="auto"/>
            <w:right w:val="none" w:sz="0" w:space="0" w:color="auto"/>
          </w:divBdr>
        </w:div>
        <w:div w:id="1053967999">
          <w:marLeft w:val="0"/>
          <w:marRight w:val="0"/>
          <w:marTop w:val="0"/>
          <w:marBottom w:val="0"/>
          <w:divBdr>
            <w:top w:val="none" w:sz="0" w:space="0" w:color="auto"/>
            <w:left w:val="none" w:sz="0" w:space="0" w:color="auto"/>
            <w:bottom w:val="none" w:sz="0" w:space="0" w:color="auto"/>
            <w:right w:val="none" w:sz="0" w:space="0" w:color="auto"/>
          </w:divBdr>
        </w:div>
      </w:divsChild>
    </w:div>
    <w:div w:id="288170654">
      <w:bodyDiv w:val="1"/>
      <w:marLeft w:val="0"/>
      <w:marRight w:val="0"/>
      <w:marTop w:val="0"/>
      <w:marBottom w:val="0"/>
      <w:divBdr>
        <w:top w:val="none" w:sz="0" w:space="0" w:color="auto"/>
        <w:left w:val="none" w:sz="0" w:space="0" w:color="auto"/>
        <w:bottom w:val="none" w:sz="0" w:space="0" w:color="auto"/>
        <w:right w:val="none" w:sz="0" w:space="0" w:color="auto"/>
      </w:divBdr>
    </w:div>
    <w:div w:id="298651673">
      <w:bodyDiv w:val="1"/>
      <w:marLeft w:val="0"/>
      <w:marRight w:val="0"/>
      <w:marTop w:val="0"/>
      <w:marBottom w:val="0"/>
      <w:divBdr>
        <w:top w:val="none" w:sz="0" w:space="0" w:color="auto"/>
        <w:left w:val="none" w:sz="0" w:space="0" w:color="auto"/>
        <w:bottom w:val="none" w:sz="0" w:space="0" w:color="auto"/>
        <w:right w:val="none" w:sz="0" w:space="0" w:color="auto"/>
      </w:divBdr>
    </w:div>
    <w:div w:id="413741495">
      <w:bodyDiv w:val="1"/>
      <w:marLeft w:val="0"/>
      <w:marRight w:val="0"/>
      <w:marTop w:val="0"/>
      <w:marBottom w:val="0"/>
      <w:divBdr>
        <w:top w:val="none" w:sz="0" w:space="0" w:color="auto"/>
        <w:left w:val="none" w:sz="0" w:space="0" w:color="auto"/>
        <w:bottom w:val="none" w:sz="0" w:space="0" w:color="auto"/>
        <w:right w:val="none" w:sz="0" w:space="0" w:color="auto"/>
      </w:divBdr>
    </w:div>
    <w:div w:id="520246019">
      <w:bodyDiv w:val="1"/>
      <w:marLeft w:val="0"/>
      <w:marRight w:val="0"/>
      <w:marTop w:val="0"/>
      <w:marBottom w:val="0"/>
      <w:divBdr>
        <w:top w:val="none" w:sz="0" w:space="0" w:color="auto"/>
        <w:left w:val="none" w:sz="0" w:space="0" w:color="auto"/>
        <w:bottom w:val="none" w:sz="0" w:space="0" w:color="auto"/>
        <w:right w:val="none" w:sz="0" w:space="0" w:color="auto"/>
      </w:divBdr>
    </w:div>
    <w:div w:id="620919811">
      <w:bodyDiv w:val="1"/>
      <w:marLeft w:val="0"/>
      <w:marRight w:val="0"/>
      <w:marTop w:val="0"/>
      <w:marBottom w:val="0"/>
      <w:divBdr>
        <w:top w:val="none" w:sz="0" w:space="0" w:color="auto"/>
        <w:left w:val="none" w:sz="0" w:space="0" w:color="auto"/>
        <w:bottom w:val="none" w:sz="0" w:space="0" w:color="auto"/>
        <w:right w:val="none" w:sz="0" w:space="0" w:color="auto"/>
      </w:divBdr>
      <w:divsChild>
        <w:div w:id="882134264">
          <w:marLeft w:val="0"/>
          <w:marRight w:val="0"/>
          <w:marTop w:val="0"/>
          <w:marBottom w:val="0"/>
          <w:divBdr>
            <w:top w:val="none" w:sz="0" w:space="0" w:color="auto"/>
            <w:left w:val="none" w:sz="0" w:space="0" w:color="auto"/>
            <w:bottom w:val="none" w:sz="0" w:space="0" w:color="auto"/>
            <w:right w:val="none" w:sz="0" w:space="0" w:color="auto"/>
          </w:divBdr>
        </w:div>
        <w:div w:id="1765608880">
          <w:marLeft w:val="0"/>
          <w:marRight w:val="0"/>
          <w:marTop w:val="0"/>
          <w:marBottom w:val="0"/>
          <w:divBdr>
            <w:top w:val="none" w:sz="0" w:space="0" w:color="auto"/>
            <w:left w:val="none" w:sz="0" w:space="0" w:color="auto"/>
            <w:bottom w:val="none" w:sz="0" w:space="0" w:color="auto"/>
            <w:right w:val="none" w:sz="0" w:space="0" w:color="auto"/>
          </w:divBdr>
        </w:div>
      </w:divsChild>
    </w:div>
    <w:div w:id="740325333">
      <w:bodyDiv w:val="1"/>
      <w:marLeft w:val="0"/>
      <w:marRight w:val="0"/>
      <w:marTop w:val="0"/>
      <w:marBottom w:val="0"/>
      <w:divBdr>
        <w:top w:val="none" w:sz="0" w:space="0" w:color="auto"/>
        <w:left w:val="none" w:sz="0" w:space="0" w:color="auto"/>
        <w:bottom w:val="none" w:sz="0" w:space="0" w:color="auto"/>
        <w:right w:val="none" w:sz="0" w:space="0" w:color="auto"/>
      </w:divBdr>
    </w:div>
    <w:div w:id="946815256">
      <w:bodyDiv w:val="1"/>
      <w:marLeft w:val="0"/>
      <w:marRight w:val="0"/>
      <w:marTop w:val="0"/>
      <w:marBottom w:val="0"/>
      <w:divBdr>
        <w:top w:val="none" w:sz="0" w:space="0" w:color="auto"/>
        <w:left w:val="none" w:sz="0" w:space="0" w:color="auto"/>
        <w:bottom w:val="none" w:sz="0" w:space="0" w:color="auto"/>
        <w:right w:val="none" w:sz="0" w:space="0" w:color="auto"/>
      </w:divBdr>
      <w:divsChild>
        <w:div w:id="1542860117">
          <w:marLeft w:val="0"/>
          <w:marRight w:val="0"/>
          <w:marTop w:val="0"/>
          <w:marBottom w:val="0"/>
          <w:divBdr>
            <w:top w:val="none" w:sz="0" w:space="0" w:color="auto"/>
            <w:left w:val="none" w:sz="0" w:space="0" w:color="auto"/>
            <w:bottom w:val="none" w:sz="0" w:space="0" w:color="auto"/>
            <w:right w:val="none" w:sz="0" w:space="0" w:color="auto"/>
          </w:divBdr>
        </w:div>
      </w:divsChild>
    </w:div>
    <w:div w:id="1040743216">
      <w:bodyDiv w:val="1"/>
      <w:marLeft w:val="0"/>
      <w:marRight w:val="0"/>
      <w:marTop w:val="0"/>
      <w:marBottom w:val="0"/>
      <w:divBdr>
        <w:top w:val="none" w:sz="0" w:space="0" w:color="auto"/>
        <w:left w:val="none" w:sz="0" w:space="0" w:color="auto"/>
        <w:bottom w:val="none" w:sz="0" w:space="0" w:color="auto"/>
        <w:right w:val="none" w:sz="0" w:space="0" w:color="auto"/>
      </w:divBdr>
    </w:div>
    <w:div w:id="1120489148">
      <w:bodyDiv w:val="1"/>
      <w:marLeft w:val="0"/>
      <w:marRight w:val="0"/>
      <w:marTop w:val="0"/>
      <w:marBottom w:val="0"/>
      <w:divBdr>
        <w:top w:val="none" w:sz="0" w:space="0" w:color="auto"/>
        <w:left w:val="none" w:sz="0" w:space="0" w:color="auto"/>
        <w:bottom w:val="none" w:sz="0" w:space="0" w:color="auto"/>
        <w:right w:val="none" w:sz="0" w:space="0" w:color="auto"/>
      </w:divBdr>
    </w:div>
    <w:div w:id="1141995153">
      <w:bodyDiv w:val="1"/>
      <w:marLeft w:val="0"/>
      <w:marRight w:val="0"/>
      <w:marTop w:val="0"/>
      <w:marBottom w:val="0"/>
      <w:divBdr>
        <w:top w:val="none" w:sz="0" w:space="0" w:color="auto"/>
        <w:left w:val="none" w:sz="0" w:space="0" w:color="auto"/>
        <w:bottom w:val="none" w:sz="0" w:space="0" w:color="auto"/>
        <w:right w:val="none" w:sz="0" w:space="0" w:color="auto"/>
      </w:divBdr>
    </w:div>
    <w:div w:id="1144664503">
      <w:bodyDiv w:val="1"/>
      <w:marLeft w:val="0"/>
      <w:marRight w:val="0"/>
      <w:marTop w:val="0"/>
      <w:marBottom w:val="0"/>
      <w:divBdr>
        <w:top w:val="none" w:sz="0" w:space="0" w:color="auto"/>
        <w:left w:val="none" w:sz="0" w:space="0" w:color="auto"/>
        <w:bottom w:val="none" w:sz="0" w:space="0" w:color="auto"/>
        <w:right w:val="none" w:sz="0" w:space="0" w:color="auto"/>
      </w:divBdr>
    </w:div>
    <w:div w:id="1218281410">
      <w:bodyDiv w:val="1"/>
      <w:marLeft w:val="0"/>
      <w:marRight w:val="0"/>
      <w:marTop w:val="0"/>
      <w:marBottom w:val="0"/>
      <w:divBdr>
        <w:top w:val="none" w:sz="0" w:space="0" w:color="auto"/>
        <w:left w:val="none" w:sz="0" w:space="0" w:color="auto"/>
        <w:bottom w:val="none" w:sz="0" w:space="0" w:color="auto"/>
        <w:right w:val="none" w:sz="0" w:space="0" w:color="auto"/>
      </w:divBdr>
    </w:div>
    <w:div w:id="1239553910">
      <w:bodyDiv w:val="1"/>
      <w:marLeft w:val="0"/>
      <w:marRight w:val="0"/>
      <w:marTop w:val="0"/>
      <w:marBottom w:val="0"/>
      <w:divBdr>
        <w:top w:val="none" w:sz="0" w:space="0" w:color="auto"/>
        <w:left w:val="none" w:sz="0" w:space="0" w:color="auto"/>
        <w:bottom w:val="none" w:sz="0" w:space="0" w:color="auto"/>
        <w:right w:val="none" w:sz="0" w:space="0" w:color="auto"/>
      </w:divBdr>
      <w:divsChild>
        <w:div w:id="256451305">
          <w:marLeft w:val="0"/>
          <w:marRight w:val="0"/>
          <w:marTop w:val="0"/>
          <w:marBottom w:val="0"/>
          <w:divBdr>
            <w:top w:val="none" w:sz="0" w:space="0" w:color="auto"/>
            <w:left w:val="none" w:sz="0" w:space="0" w:color="auto"/>
            <w:bottom w:val="none" w:sz="0" w:space="0" w:color="auto"/>
            <w:right w:val="none" w:sz="0" w:space="0" w:color="auto"/>
          </w:divBdr>
        </w:div>
      </w:divsChild>
    </w:div>
    <w:div w:id="1264922114">
      <w:bodyDiv w:val="1"/>
      <w:marLeft w:val="0"/>
      <w:marRight w:val="0"/>
      <w:marTop w:val="0"/>
      <w:marBottom w:val="0"/>
      <w:divBdr>
        <w:top w:val="none" w:sz="0" w:space="0" w:color="auto"/>
        <w:left w:val="none" w:sz="0" w:space="0" w:color="auto"/>
        <w:bottom w:val="none" w:sz="0" w:space="0" w:color="auto"/>
        <w:right w:val="none" w:sz="0" w:space="0" w:color="auto"/>
      </w:divBdr>
    </w:div>
    <w:div w:id="1267882550">
      <w:bodyDiv w:val="1"/>
      <w:marLeft w:val="0"/>
      <w:marRight w:val="0"/>
      <w:marTop w:val="0"/>
      <w:marBottom w:val="0"/>
      <w:divBdr>
        <w:top w:val="none" w:sz="0" w:space="0" w:color="auto"/>
        <w:left w:val="none" w:sz="0" w:space="0" w:color="auto"/>
        <w:bottom w:val="none" w:sz="0" w:space="0" w:color="auto"/>
        <w:right w:val="none" w:sz="0" w:space="0" w:color="auto"/>
      </w:divBdr>
    </w:div>
    <w:div w:id="1509636852">
      <w:bodyDiv w:val="1"/>
      <w:marLeft w:val="0"/>
      <w:marRight w:val="0"/>
      <w:marTop w:val="0"/>
      <w:marBottom w:val="0"/>
      <w:divBdr>
        <w:top w:val="none" w:sz="0" w:space="0" w:color="auto"/>
        <w:left w:val="none" w:sz="0" w:space="0" w:color="auto"/>
        <w:bottom w:val="none" w:sz="0" w:space="0" w:color="auto"/>
        <w:right w:val="none" w:sz="0" w:space="0" w:color="auto"/>
      </w:divBdr>
    </w:div>
    <w:div w:id="1524249221">
      <w:bodyDiv w:val="1"/>
      <w:marLeft w:val="0"/>
      <w:marRight w:val="0"/>
      <w:marTop w:val="0"/>
      <w:marBottom w:val="0"/>
      <w:divBdr>
        <w:top w:val="none" w:sz="0" w:space="0" w:color="auto"/>
        <w:left w:val="none" w:sz="0" w:space="0" w:color="auto"/>
        <w:bottom w:val="none" w:sz="0" w:space="0" w:color="auto"/>
        <w:right w:val="none" w:sz="0" w:space="0" w:color="auto"/>
      </w:divBdr>
    </w:div>
    <w:div w:id="1649475798">
      <w:bodyDiv w:val="1"/>
      <w:marLeft w:val="0"/>
      <w:marRight w:val="0"/>
      <w:marTop w:val="0"/>
      <w:marBottom w:val="0"/>
      <w:divBdr>
        <w:top w:val="none" w:sz="0" w:space="0" w:color="auto"/>
        <w:left w:val="none" w:sz="0" w:space="0" w:color="auto"/>
        <w:bottom w:val="none" w:sz="0" w:space="0" w:color="auto"/>
        <w:right w:val="none" w:sz="0" w:space="0" w:color="auto"/>
      </w:divBdr>
      <w:divsChild>
        <w:div w:id="1531065704">
          <w:marLeft w:val="0"/>
          <w:marRight w:val="0"/>
          <w:marTop w:val="0"/>
          <w:marBottom w:val="0"/>
          <w:divBdr>
            <w:top w:val="none" w:sz="0" w:space="0" w:color="auto"/>
            <w:left w:val="none" w:sz="0" w:space="0" w:color="auto"/>
            <w:bottom w:val="none" w:sz="0" w:space="0" w:color="auto"/>
            <w:right w:val="none" w:sz="0" w:space="0" w:color="auto"/>
          </w:divBdr>
          <w:divsChild>
            <w:div w:id="73270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498600">
      <w:bodyDiv w:val="1"/>
      <w:marLeft w:val="0"/>
      <w:marRight w:val="0"/>
      <w:marTop w:val="0"/>
      <w:marBottom w:val="0"/>
      <w:divBdr>
        <w:top w:val="none" w:sz="0" w:space="0" w:color="auto"/>
        <w:left w:val="none" w:sz="0" w:space="0" w:color="auto"/>
        <w:bottom w:val="none" w:sz="0" w:space="0" w:color="auto"/>
        <w:right w:val="none" w:sz="0" w:space="0" w:color="auto"/>
      </w:divBdr>
    </w:div>
    <w:div w:id="1669402426">
      <w:bodyDiv w:val="1"/>
      <w:marLeft w:val="0"/>
      <w:marRight w:val="0"/>
      <w:marTop w:val="0"/>
      <w:marBottom w:val="0"/>
      <w:divBdr>
        <w:top w:val="none" w:sz="0" w:space="0" w:color="auto"/>
        <w:left w:val="none" w:sz="0" w:space="0" w:color="auto"/>
        <w:bottom w:val="none" w:sz="0" w:space="0" w:color="auto"/>
        <w:right w:val="none" w:sz="0" w:space="0" w:color="auto"/>
      </w:divBdr>
    </w:div>
    <w:div w:id="1890457337">
      <w:bodyDiv w:val="1"/>
      <w:marLeft w:val="0"/>
      <w:marRight w:val="0"/>
      <w:marTop w:val="0"/>
      <w:marBottom w:val="0"/>
      <w:divBdr>
        <w:top w:val="none" w:sz="0" w:space="0" w:color="auto"/>
        <w:left w:val="none" w:sz="0" w:space="0" w:color="auto"/>
        <w:bottom w:val="none" w:sz="0" w:space="0" w:color="auto"/>
        <w:right w:val="none" w:sz="0" w:space="0" w:color="auto"/>
      </w:divBdr>
    </w:div>
    <w:div w:id="1909221762">
      <w:bodyDiv w:val="1"/>
      <w:marLeft w:val="0"/>
      <w:marRight w:val="0"/>
      <w:marTop w:val="0"/>
      <w:marBottom w:val="0"/>
      <w:divBdr>
        <w:top w:val="none" w:sz="0" w:space="0" w:color="auto"/>
        <w:left w:val="none" w:sz="0" w:space="0" w:color="auto"/>
        <w:bottom w:val="none" w:sz="0" w:space="0" w:color="auto"/>
        <w:right w:val="none" w:sz="0" w:space="0" w:color="auto"/>
      </w:divBdr>
    </w:div>
    <w:div w:id="2045130078">
      <w:bodyDiv w:val="1"/>
      <w:marLeft w:val="0"/>
      <w:marRight w:val="0"/>
      <w:marTop w:val="0"/>
      <w:marBottom w:val="0"/>
      <w:divBdr>
        <w:top w:val="none" w:sz="0" w:space="0" w:color="auto"/>
        <w:left w:val="none" w:sz="0" w:space="0" w:color="auto"/>
        <w:bottom w:val="none" w:sz="0" w:space="0" w:color="auto"/>
        <w:right w:val="none" w:sz="0" w:space="0" w:color="auto"/>
      </w:divBdr>
    </w:div>
    <w:div w:id="213721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vo.nl/sites/default/files/2013/12/BrochureMilieulijst%202014.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mapeer-sme.eu/programmes-for-smes/search-in-the-online-database/dutch-sbir-small-business-innovation-programme-NL2" TargetMode="External"/><Relationship Id="rId1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vo.nl/sites/default/files/2013/12/BrochureMilieulijst%202014.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rvo.nl/sites/default/files/2014/02/Tabel%20Biomassa%20hernieuwbare%20warmte%20en%20wkk%20SDE%2B%202014.pdf"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pbl.nl/en/publications/2010/Netherlands-in-the-Future-Second-Sustainability-Outlook" TargetMode="External"/><Relationship Id="rId13" Type="http://schemas.openxmlformats.org/officeDocument/2006/relationships/hyperlink" Target="http://www.answersforbusiness.nl/subsidy/environmental-investment-allowance" TargetMode="External"/><Relationship Id="rId18" Type="http://schemas.openxmlformats.org/officeDocument/2006/relationships/hyperlink" Target="http://www.rvo.nl/subsidies-regelingen/tender-demonstratie-energie-innovatie" TargetMode="External"/><Relationship Id="rId26" Type="http://schemas.openxmlformats.org/officeDocument/2006/relationships/hyperlink" Target="http://www.agentschapnl.nl/programmas-regelingen/nederlands-beleid-biobrandstoffen" TargetMode="External"/><Relationship Id="rId3" Type="http://schemas.openxmlformats.org/officeDocument/2006/relationships/hyperlink" Target="http://www.google.co.uk/url?sa=t&amp;rct=j&amp;q=&amp;esrc=s&amp;source=web&amp;cd=1&amp;cad=rja&amp;ved=0CDEQFjAA&amp;url=http%3A%2F%2Fwww.rijksoverheid.nl%2Fbestanden%2Fdocumenten-en-publicaties%2Fbrochures%2F2010%2F11%2F25%2Fnew-energy-for-climate-policy%2F11br2007g486-2008122-154154.pdf&amp;ei=bFtyUrbMDYG50QXYzYHYDg&amp;usg=AFQjCNGY0ogPq7E_jYfZYp6fhJUt0JTkeQ&amp;sig2=Q1oP5NEdvs38sEL_AnI7qg&amp;bvm=bv.55819444,d.d2k" TargetMode="External"/><Relationship Id="rId21" Type="http://schemas.openxmlformats.org/officeDocument/2006/relationships/hyperlink" Target="http://www.rvo.nl/subsidies-regelingen/tender-bbe-innovatieprojecten-bbe-i" TargetMode="External"/><Relationship Id="rId7" Type="http://schemas.openxmlformats.org/officeDocument/2006/relationships/hyperlink" Target="http://www.rijksoverheid.nl/documenten-en-publicaties/brieven/2011/11/18/klimaatbrief-2050.html" TargetMode="External"/><Relationship Id="rId12" Type="http://schemas.openxmlformats.org/officeDocument/2006/relationships/hyperlink" Target="http://www.government.nl/issues/environment/documents-and-publications/reports/2014/09/24/climate-agenda-resilient-prosperous-and-green-summary.html" TargetMode="External"/><Relationship Id="rId17" Type="http://schemas.openxmlformats.org/officeDocument/2006/relationships/hyperlink" Target="http://www.agentschapnl.nl/sites/default/files/English_brochure_SDE%2B_2013_%28kleur_version%29.pdf" TargetMode="External"/><Relationship Id="rId25" Type="http://schemas.openxmlformats.org/officeDocument/2006/relationships/hyperlink" Target="http://www.rvo.nl/sites/default/files/2014/03/MIT-2014_bijlage-J_6-Chemie-Biobased-Energie.pdf" TargetMode="External"/><Relationship Id="rId2" Type="http://schemas.openxmlformats.org/officeDocument/2006/relationships/hyperlink" Target="http://www.agentschapnl.nl/sites/default/files/bijlagen/Brochure%20Energy%20Innovation%20Agenda.pdf" TargetMode="External"/><Relationship Id="rId16" Type="http://schemas.openxmlformats.org/officeDocument/2006/relationships/hyperlink" Target="http://www.agentschapnl.nl/subsidies-regelingen/sde" TargetMode="External"/><Relationship Id="rId20" Type="http://schemas.openxmlformats.org/officeDocument/2006/relationships/hyperlink" Target="http://www.rvo.nl/subsidies-regelingen/tender-2-bbe-kostprijsreductie-elektriciteit-en-warmteproductie" TargetMode="External"/><Relationship Id="rId29" Type="http://schemas.openxmlformats.org/officeDocument/2006/relationships/hyperlink" Target="http://www.rvo.nl/subsidies-regelingen/sbir-teelt-en-oogst-van-zeewieren" TargetMode="External"/><Relationship Id="rId1" Type="http://schemas.openxmlformats.org/officeDocument/2006/relationships/hyperlink" Target="http://www.ecofys.com/en/press/ecofys-launches-trial-module-for-seaweed-cultivation-in-offshore-wind-farm" TargetMode="External"/><Relationship Id="rId6" Type="http://schemas.openxmlformats.org/officeDocument/2006/relationships/hyperlink" Target="http://www.esdn.eu/pdf/country_profiles/NL%20Attachment%203%20-%20Sustainability%20Agenda%202011.pdf" TargetMode="External"/><Relationship Id="rId11" Type="http://schemas.openxmlformats.org/officeDocument/2006/relationships/hyperlink" Target="http://content1b.omroep.nl/urishieldv2/l27m4c1939ea2d8d0599005271191f000000.5611bc80f2a72ed729f02c450f936e31/nos/docs/270813_energieakkoord.pdf" TargetMode="External"/><Relationship Id="rId24" Type="http://schemas.openxmlformats.org/officeDocument/2006/relationships/hyperlink" Target="http://www.rvo.nl/subsidies-regelingen/mit-regeling-topsectoren-chemie-en-energie-incl-thema-biobased" TargetMode="External"/><Relationship Id="rId5" Type="http://schemas.openxmlformats.org/officeDocument/2006/relationships/hyperlink" Target="http://www.government.nl/issues/energy/green-deal" TargetMode="External"/><Relationship Id="rId15" Type="http://schemas.openxmlformats.org/officeDocument/2006/relationships/hyperlink" Target="http://www.agentschapnl.nl/subsidies-regelingen/energie-investeringsaftrek-eia" TargetMode="External"/><Relationship Id="rId23" Type="http://schemas.openxmlformats.org/officeDocument/2006/relationships/hyperlink" Target="http://www.rvo.nl/sites/default/files/2014/03/MIT-2014_bijlage-J_6-Chemie-Biobased-Energie.pdf" TargetMode="External"/><Relationship Id="rId28" Type="http://schemas.openxmlformats.org/officeDocument/2006/relationships/hyperlink" Target="http://mapeer-sme.eu/programmes-for-smes/search-in-the-online-database/dutch-sbir-small-business-innovation-programme-NL2" TargetMode="External"/><Relationship Id="rId10" Type="http://schemas.openxmlformats.org/officeDocument/2006/relationships/hyperlink" Target="http://www.energieakkoordser.nl/" TargetMode="External"/><Relationship Id="rId19" Type="http://schemas.openxmlformats.org/officeDocument/2006/relationships/hyperlink" Target="http://www.rvo.nl/subsidies-regelingen/tender-1-bbe-kostprijsreductie-elektriciteit-en-warmteproductie" TargetMode="External"/><Relationship Id="rId4" Type="http://schemas.openxmlformats.org/officeDocument/2006/relationships/hyperlink" Target="http://ec.europa.eu/energy/renewables/action_plan_en.htm" TargetMode="External"/><Relationship Id="rId9" Type="http://schemas.openxmlformats.org/officeDocument/2006/relationships/hyperlink" Target="http://iepd.iipnetwork.org/node/370" TargetMode="External"/><Relationship Id="rId14" Type="http://schemas.openxmlformats.org/officeDocument/2006/relationships/hyperlink" Target="http://www.rvo.nl/subsidies-regelingen/biobased-economy-en-miavamil" TargetMode="External"/><Relationship Id="rId22" Type="http://schemas.openxmlformats.org/officeDocument/2006/relationships/hyperlink" Target="http://www.rvo.nl/subsidies-regelingen/mit-regeling-topsectoren-chemie-en-energie-incl-thema-biobased" TargetMode="External"/><Relationship Id="rId27" Type="http://schemas.openxmlformats.org/officeDocument/2006/relationships/hyperlink" Target="http://www.helpdeskwater.nl/algemene-onderdelen/serviceblok/english/legisl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3C1EFBF4806B4C8FC2E389EFCC5CF3" ma:contentTypeVersion="0" ma:contentTypeDescription="Create a new document." ma:contentTypeScope="" ma:versionID="a5362f52b6d8fbb43449a579effcc57c">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C5FD90-DE65-4A30-825C-419A9EEB01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3C23D6BB-62A6-4EA7-8B1D-B2A206ECBC8A}">
  <ds:schemaRefs>
    <ds:schemaRef ds:uri="http://schemas.microsoft.com/sharepoint/v3/contenttype/forms"/>
  </ds:schemaRefs>
</ds:datastoreItem>
</file>

<file path=customXml/itemProps3.xml><?xml version="1.0" encoding="utf-8"?>
<ds:datastoreItem xmlns:ds="http://schemas.openxmlformats.org/officeDocument/2006/customXml" ds:itemID="{44757F14-A250-4D11-90B5-544B7D97500C}">
  <ds:schemaRefs>
    <ds:schemaRef ds:uri="http://schemas.microsoft.com/office/2006/metadata/properties"/>
  </ds:schemaRefs>
</ds:datastoreItem>
</file>

<file path=customXml/itemProps4.xml><?xml version="1.0" encoding="utf-8"?>
<ds:datastoreItem xmlns:ds="http://schemas.openxmlformats.org/officeDocument/2006/customXml" ds:itemID="{0C7FB936-937B-43D3-B1EC-DB602B39B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3609</Words>
  <Characters>20576</Characters>
  <Application>Microsoft Office Word</Application>
  <DocSecurity>0</DocSecurity>
  <Lines>171</Lines>
  <Paragraphs>48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Wageningen UR</Company>
  <LinksUpToDate>false</LinksUpToDate>
  <CharactersWithSpaces>24137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Smith</dc:creator>
  <cp:lastModifiedBy>Andrea Salimbeni</cp:lastModifiedBy>
  <cp:revision>2</cp:revision>
  <dcterms:created xsi:type="dcterms:W3CDTF">2015-09-18T11:24:00Z</dcterms:created>
  <dcterms:modified xsi:type="dcterms:W3CDTF">2015-09-18T11:24:00Z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0x010100F73C1EFBF4806B4C8FC2E389EFCC5CF3</vt:lpwstr>
  </property>
  <property fmtid="{D5CDD505-2E9C-101B-9397-08002B2CF9AE}" pid="3" name="_dlc_DocIdItemGuid">
    <vt:lpwstr>633b1b15-7605-424f-818e-c05ce4f33fee</vt:lpwstr>
  </property>
  <property fmtid="{D5CDD505-2E9C-101B-9397-08002B2CF9AE}" pid="4" name="source_item_id">
    <vt:i4>374</vt:i4>
  </property>
  <property fmtid="{D5CDD505-2E9C-101B-9397-08002B2CF9AE}" pid="5" name="_dlc_DocId">
    <vt:lpwstr>JZDHEWH4QPWU-338-275</vt:lpwstr>
  </property>
  <property fmtid="{D5CDD505-2E9C-101B-9397-08002B2CF9AE}" pid="6" name="_dlc_DocIdUrl">
    <vt:lpwstr>https://collaborate.swan.ac.uk/schools/science/energeticalgae/_layouts/DocIdRedir.aspx?ID=JZDHEWH4QPWU-338-275JZDHEWH4QPWU-338-275</vt:lpwstr>
  </property>
</Properties>
</file>