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CC5" w:rsidRDefault="00931421" w:rsidP="00A90F09">
      <w:pPr>
        <w:pStyle w:val="Titolo"/>
      </w:pPr>
      <w:r w:rsidRPr="006B6390">
        <w:t xml:space="preserve">EnAlgae policy landscape analysis for </w:t>
      </w:r>
    </w:p>
    <w:p w:rsidR="00931421" w:rsidRPr="006B6390" w:rsidRDefault="00931421" w:rsidP="00A90F09">
      <w:pPr>
        <w:pStyle w:val="Titolo"/>
      </w:pPr>
      <w:r w:rsidRPr="006B6390">
        <w:t>the UK</w:t>
      </w:r>
    </w:p>
    <w:p w:rsidR="004409E6" w:rsidRPr="00725303" w:rsidRDefault="00931421" w:rsidP="00725303">
      <w:r w:rsidRPr="00725303">
        <w:t xml:space="preserve">Landscape analysis of national and regional policies </w:t>
      </w:r>
      <w:r w:rsidR="004409E6" w:rsidRPr="00725303">
        <w:t>of</w:t>
      </w:r>
      <w:r w:rsidR="004148E7" w:rsidRPr="00725303">
        <w:t xml:space="preserve"> the</w:t>
      </w:r>
      <w:r w:rsidR="004409E6" w:rsidRPr="00725303">
        <w:t xml:space="preserve"> UK</w:t>
      </w:r>
      <w:r w:rsidR="004148E7" w:rsidRPr="00725303">
        <w:t xml:space="preserve"> that can have an impact in algae cultivation</w:t>
      </w:r>
      <w:r w:rsidRPr="00725303">
        <w:t>reve</w:t>
      </w:r>
      <w:r w:rsidR="004148E7" w:rsidRPr="00725303">
        <w:t>aled</w:t>
      </w:r>
      <w:r w:rsidR="004409E6" w:rsidRPr="00725303">
        <w:t xml:space="preserve"> a number of strategies, mandates, and economic incentives for</w:t>
      </w:r>
      <w:r w:rsidRPr="00725303">
        <w:t xml:space="preserve"> climate change, </w:t>
      </w:r>
      <w:r w:rsidR="004148E7" w:rsidRPr="00725303">
        <w:t>bioenergy</w:t>
      </w:r>
      <w:r w:rsidRPr="00725303">
        <w:t>, and water</w:t>
      </w:r>
      <w:r w:rsidR="004409E6" w:rsidRPr="00725303">
        <w:t xml:space="preserve">. Many of the identified </w:t>
      </w:r>
      <w:r w:rsidR="004148E7" w:rsidRPr="00725303">
        <w:t xml:space="preserve">policies </w:t>
      </w:r>
      <w:r w:rsidR="004409E6" w:rsidRPr="00725303">
        <w:t xml:space="preserve">are in fact </w:t>
      </w:r>
      <w:r w:rsidR="004148E7" w:rsidRPr="00725303">
        <w:t>response mechanisms</w:t>
      </w:r>
      <w:r w:rsidR="004409E6" w:rsidRPr="00725303">
        <w:t xml:space="preserve"> to</w:t>
      </w:r>
      <w:r w:rsidR="004148E7" w:rsidRPr="00725303">
        <w:t xml:space="preserve"> EU-level overarching strategies and targets. Nevertheless, </w:t>
      </w:r>
      <w:r w:rsidR="003A405A" w:rsidRPr="00725303">
        <w:t>each country can set its own</w:t>
      </w:r>
      <w:r w:rsidR="004148E7" w:rsidRPr="00725303">
        <w:t xml:space="preserve"> priorities and strategies</w:t>
      </w:r>
      <w:r w:rsidR="003A405A" w:rsidRPr="00725303">
        <w:t xml:space="preserve"> in order</w:t>
      </w:r>
      <w:r w:rsidR="004148E7" w:rsidRPr="00725303">
        <w:t xml:space="preserve"> to reach </w:t>
      </w:r>
      <w:r w:rsidR="003A405A" w:rsidRPr="00725303">
        <w:t>EU</w:t>
      </w:r>
      <w:r w:rsidR="004148E7" w:rsidRPr="00725303">
        <w:t xml:space="preserve"> targets</w:t>
      </w:r>
      <w:r w:rsidR="003A405A" w:rsidRPr="00725303">
        <w:t xml:space="preserve">. For this, </w:t>
      </w:r>
      <w:r w:rsidR="004148E7" w:rsidRPr="00725303">
        <w:t xml:space="preserve">we have looked upon </w:t>
      </w:r>
      <w:r w:rsidR="003A405A" w:rsidRPr="00725303">
        <w:t>UK policiesat country and regional level</w:t>
      </w:r>
      <w:r w:rsidR="004148E7" w:rsidRPr="00725303">
        <w:t xml:space="preserve"> that could </w:t>
      </w:r>
      <w:r w:rsidR="00BD35F3">
        <w:t>stimulate</w:t>
      </w:r>
      <w:r w:rsidR="004148E7" w:rsidRPr="00725303">
        <w:t xml:space="preserve"> investment for algae cultivation. </w:t>
      </w:r>
    </w:p>
    <w:p w:rsidR="00931421" w:rsidRPr="00725303" w:rsidRDefault="000F3C91" w:rsidP="00725303">
      <w:r>
        <w:t>Production of</w:t>
      </w:r>
      <w:r w:rsidR="00931421" w:rsidRPr="00725303">
        <w:t xml:space="preserve">Energetic Algae (or algae for production of fuels and energy) </w:t>
      </w:r>
      <w:r w:rsidR="00BD35F3">
        <w:t>is a</w:t>
      </w:r>
      <w:r w:rsidR="00931421" w:rsidRPr="00725303">
        <w:t xml:space="preserve"> new concept </w:t>
      </w:r>
      <w:r w:rsidR="00272823" w:rsidRPr="00725303">
        <w:t>in</w:t>
      </w:r>
      <w:r w:rsidR="00931421" w:rsidRPr="00725303">
        <w:t xml:space="preserve"> theUK</w:t>
      </w:r>
      <w:r w:rsidR="00272823" w:rsidRPr="00725303">
        <w:t xml:space="preserve">, and </w:t>
      </w:r>
      <w:r w:rsidR="001C20D9" w:rsidRPr="00725303">
        <w:t xml:space="preserve">existing </w:t>
      </w:r>
      <w:r w:rsidR="00272823" w:rsidRPr="00725303">
        <w:t>b</w:t>
      </w:r>
      <w:r w:rsidR="00931421" w:rsidRPr="00725303">
        <w:t>ioenergy and environmental strategies</w:t>
      </w:r>
      <w:r w:rsidR="00F54AC6">
        <w:t>few schemes were found to</w:t>
      </w:r>
      <w:r w:rsidR="00BD35F3">
        <w:t xml:space="preserve"> be </w:t>
      </w:r>
      <w:r w:rsidR="001C20D9" w:rsidRPr="00725303">
        <w:t xml:space="preserve">actively </w:t>
      </w:r>
      <w:r w:rsidR="00272823" w:rsidRPr="00725303">
        <w:t>support</w:t>
      </w:r>
      <w:r w:rsidR="001C20D9" w:rsidRPr="00725303">
        <w:t xml:space="preserve">ive toenergetic </w:t>
      </w:r>
      <w:r w:rsidR="00272823" w:rsidRPr="00725303">
        <w:t>algae</w:t>
      </w:r>
      <w:r w:rsidR="00931421" w:rsidRPr="00725303">
        <w:t>.</w:t>
      </w:r>
      <w:r w:rsidR="00F54AC6">
        <w:t xml:space="preserve"> An example relevant to algae is the Renewable Heat Incentive (RHI). For bioheat tariff scheme, algae are an eligible biomass type for biogas and bioheat production. </w:t>
      </w:r>
      <w:r w:rsidR="008B64FD">
        <w:t>To</w:t>
      </w:r>
      <w:r w:rsidR="008B64FD" w:rsidRPr="00EA44A4">
        <w:t xml:space="preserve"> identify </w:t>
      </w:r>
      <w:r w:rsidR="008B64FD">
        <w:t xml:space="preserve">other </w:t>
      </w:r>
      <w:r w:rsidR="008B64FD" w:rsidRPr="00EA44A4">
        <w:t xml:space="preserve">policies that </w:t>
      </w:r>
      <w:r w:rsidR="008B64FD">
        <w:t>could affect</w:t>
      </w:r>
      <w:r w:rsidR="008B64FD" w:rsidRPr="00EA44A4">
        <w:t xml:space="preserve"> energetic algae, research </w:t>
      </w:r>
      <w:r w:rsidR="008B64FD">
        <w:t>was focussed on</w:t>
      </w:r>
      <w:r w:rsidR="008B64FD" w:rsidRPr="00EA44A4">
        <w:t xml:space="preserve"> generic biomass, bioenergy and environmental strategies.</w:t>
      </w:r>
    </w:p>
    <w:p w:rsidR="00931421" w:rsidRPr="00725303" w:rsidRDefault="00352BD6" w:rsidP="00725303">
      <w:r w:rsidRPr="00725303">
        <w:t xml:space="preserve">With regards to energy targets, </w:t>
      </w:r>
      <w:r w:rsidR="00931421" w:rsidRPr="00725303">
        <w:t>UK has a primary obligation set in</w:t>
      </w:r>
      <w:r w:rsidR="000F3C91">
        <w:t xml:space="preserve"> the</w:t>
      </w:r>
      <w:r w:rsidR="00931421" w:rsidRPr="00725303">
        <w:t xml:space="preserve"> EU </w:t>
      </w:r>
      <w:r w:rsidR="007C4225" w:rsidRPr="00725303">
        <w:t>Renewable Energy Directive (RED)</w:t>
      </w:r>
      <w:r w:rsidR="00931421" w:rsidRPr="00725303">
        <w:t xml:space="preserve"> to source 15% of its energy use from renewables by 2020, including </w:t>
      </w:r>
      <w:r w:rsidR="00EC6A16">
        <w:t xml:space="preserve">and </w:t>
      </w:r>
      <w:r w:rsidR="00931421" w:rsidRPr="00725303">
        <w:t xml:space="preserve">10% </w:t>
      </w:r>
      <w:r w:rsidR="00EC6A16">
        <w:t>of transport</w:t>
      </w:r>
      <w:r w:rsidR="002E6263">
        <w:t>. In response to RED targets, UK plans to source 30% of electricity, 12% of heat</w:t>
      </w:r>
      <w:bookmarkStart w:id="0" w:name="_GoBack"/>
      <w:bookmarkEnd w:id="0"/>
      <w:r w:rsidR="002E6263">
        <w:t xml:space="preserve"> consumption from renewable sources.</w:t>
      </w:r>
      <w:r w:rsidR="007C4225" w:rsidRPr="00725303">
        <w:t>Also</w:t>
      </w:r>
      <w:r w:rsidR="00931421" w:rsidRPr="00725303">
        <w:t xml:space="preserve"> at</w:t>
      </w:r>
      <w:r w:rsidR="000F3C91">
        <w:t xml:space="preserve"> a</w:t>
      </w:r>
      <w:r w:rsidR="00931421" w:rsidRPr="00725303">
        <w:t xml:space="preserve"> national level</w:t>
      </w:r>
      <w:r w:rsidR="000F3C91">
        <w:t xml:space="preserve"> the</w:t>
      </w:r>
      <w:r w:rsidR="007C4225" w:rsidRPr="00725303">
        <w:t xml:space="preserve">UK </w:t>
      </w:r>
      <w:r w:rsidR="00931421" w:rsidRPr="00725303">
        <w:t xml:space="preserve">has a target to reduce its emissions by 34% by 2020, and 80% by 2050. To </w:t>
      </w:r>
      <w:r w:rsidR="007C4225" w:rsidRPr="00725303">
        <w:t xml:space="preserve">empowermarket </w:t>
      </w:r>
      <w:r w:rsidR="00931421" w:rsidRPr="00725303">
        <w:t xml:space="preserve">changes and meet targets, </w:t>
      </w:r>
      <w:r w:rsidR="000F3C91">
        <w:t xml:space="preserve">the </w:t>
      </w:r>
      <w:r w:rsidR="00931421" w:rsidRPr="00725303">
        <w:t xml:space="preserve">UK produced </w:t>
      </w:r>
      <w:r w:rsidR="007C4225" w:rsidRPr="00725303">
        <w:t>strategies</w:t>
      </w:r>
      <w:r w:rsidR="00931421" w:rsidRPr="00725303">
        <w:t xml:space="preserve"> and </w:t>
      </w:r>
      <w:r w:rsidR="007C4225" w:rsidRPr="00725303">
        <w:t xml:space="preserve">policy </w:t>
      </w:r>
      <w:r w:rsidR="00931421" w:rsidRPr="00725303">
        <w:t xml:space="preserve">frameworks </w:t>
      </w:r>
      <w:r w:rsidR="007C4225" w:rsidRPr="00725303">
        <w:t>on</w:t>
      </w:r>
      <w:r w:rsidR="00931421" w:rsidRPr="00725303">
        <w:t xml:space="preserve"> energy and environment. </w:t>
      </w:r>
      <w:r w:rsidR="007C4225" w:rsidRPr="00725303">
        <w:t xml:space="preserve">Also, </w:t>
      </w:r>
      <w:r w:rsidR="00931421" w:rsidRPr="00725303">
        <w:t xml:space="preserve">Scotland and Wales have published regional action plans in line with national targets. </w:t>
      </w:r>
      <w:r w:rsidR="00600B8D">
        <w:t>T</w:t>
      </w:r>
      <w:r w:rsidR="00931421" w:rsidRPr="00725303">
        <w:t>echnologies that UK policies strategically support</w:t>
      </w:r>
      <w:r w:rsidR="000F3C91">
        <w:t>,</w:t>
      </w:r>
      <w:r w:rsidR="00931421" w:rsidRPr="00725303">
        <w:t xml:space="preserve"> for reducing </w:t>
      </w:r>
      <w:r w:rsidR="007C4225" w:rsidRPr="00725303">
        <w:t xml:space="preserve">their </w:t>
      </w:r>
      <w:r w:rsidR="00931421" w:rsidRPr="00725303">
        <w:t>emissionsand increas</w:t>
      </w:r>
      <w:r w:rsidR="000F3C91">
        <w:t xml:space="preserve">ingthe </w:t>
      </w:r>
      <w:r w:rsidR="007C4225" w:rsidRPr="00725303">
        <w:t xml:space="preserve">share of </w:t>
      </w:r>
      <w:r w:rsidR="00931421" w:rsidRPr="00725303">
        <w:t xml:space="preserve">renewables in </w:t>
      </w:r>
      <w:r w:rsidR="000F3C91">
        <w:t xml:space="preserve">the </w:t>
      </w:r>
      <w:r w:rsidR="00931421" w:rsidRPr="00725303">
        <w:t>energy mix</w:t>
      </w:r>
      <w:r w:rsidR="000F3C91">
        <w:t>,</w:t>
      </w:r>
      <w:r w:rsidR="00931421" w:rsidRPr="00725303">
        <w:t xml:space="preserve"> are bio</w:t>
      </w:r>
      <w:r w:rsidR="00A44824" w:rsidRPr="00725303">
        <w:t>mass power</w:t>
      </w:r>
      <w:r w:rsidR="00931421" w:rsidRPr="00725303">
        <w:t xml:space="preserve"> and </w:t>
      </w:r>
      <w:r w:rsidR="00A44824" w:rsidRPr="00725303">
        <w:t>biomass Combined Heat and Power (bio-CHP)</w:t>
      </w:r>
      <w:r w:rsidR="00931421" w:rsidRPr="00725303">
        <w:t xml:space="preserve">, </w:t>
      </w:r>
      <w:r w:rsidR="00A44824" w:rsidRPr="00725303">
        <w:t>Anaerobic Digestion (</w:t>
      </w:r>
      <w:r w:rsidR="00931421" w:rsidRPr="00725303">
        <w:t>AD</w:t>
      </w:r>
      <w:r w:rsidR="00A44824" w:rsidRPr="00725303">
        <w:t>)</w:t>
      </w:r>
      <w:r w:rsidR="00931421" w:rsidRPr="00725303">
        <w:t>, and transport biofuels</w:t>
      </w:r>
      <w:r w:rsidR="007C4225" w:rsidRPr="00725303">
        <w:t xml:space="preserve"> among others</w:t>
      </w:r>
      <w:r w:rsidR="00931421" w:rsidRPr="00725303">
        <w:t xml:space="preserve">. </w:t>
      </w:r>
      <w:r w:rsidR="00600B8D">
        <w:t>Both AD and transport biofuel technologies</w:t>
      </w:r>
      <w:r w:rsidR="00931421" w:rsidRPr="00725303">
        <w:t xml:space="preserve"> have strong potential to use algae as </w:t>
      </w:r>
      <w:r w:rsidR="00A44824" w:rsidRPr="00725303">
        <w:t xml:space="preserve">biomass </w:t>
      </w:r>
      <w:r w:rsidR="00931421" w:rsidRPr="00725303">
        <w:t xml:space="preserve">feedstocks. </w:t>
      </w:r>
    </w:p>
    <w:p w:rsidR="00931421" w:rsidRPr="00725303" w:rsidRDefault="00D905D1" w:rsidP="00725303">
      <w:r>
        <w:t xml:space="preserve">The </w:t>
      </w:r>
      <w:r w:rsidR="00931421" w:rsidRPr="00725303">
        <w:t xml:space="preserve">UK plans to support </w:t>
      </w:r>
      <w:r w:rsidR="00A44824" w:rsidRPr="00725303">
        <w:t xml:space="preserve">all </w:t>
      </w:r>
      <w:r w:rsidR="00931421" w:rsidRPr="00725303">
        <w:t xml:space="preserve">these </w:t>
      </w:r>
      <w:r w:rsidR="0035739A" w:rsidRPr="00725303">
        <w:t xml:space="preserve">strategic energy </w:t>
      </w:r>
      <w:r w:rsidR="00931421" w:rsidRPr="00725303">
        <w:t xml:space="preserve">technologies by providing </w:t>
      </w:r>
      <w:r w:rsidR="00A44824" w:rsidRPr="00725303">
        <w:t xml:space="preserve">1) </w:t>
      </w:r>
      <w:r w:rsidR="00931421" w:rsidRPr="00725303">
        <w:t xml:space="preserve">financial support, </w:t>
      </w:r>
      <w:r w:rsidR="00A44824" w:rsidRPr="00725303">
        <w:t xml:space="preserve">2) </w:t>
      </w:r>
      <w:r w:rsidR="00931421" w:rsidRPr="00725303">
        <w:t>unblock</w:t>
      </w:r>
      <w:r w:rsidR="00A44824" w:rsidRPr="00725303">
        <w:t>ing</w:t>
      </w:r>
      <w:r w:rsidR="00931421" w:rsidRPr="00725303">
        <w:t xml:space="preserve"> barriers for investment, and </w:t>
      </w:r>
      <w:r w:rsidR="00A44824" w:rsidRPr="00725303">
        <w:t xml:space="preserve">3) </w:t>
      </w:r>
      <w:r w:rsidR="00931421" w:rsidRPr="00725303">
        <w:t xml:space="preserve">underpinning technology development. Low carbon action plans have acknowledged the need to be </w:t>
      </w:r>
      <w:r w:rsidR="00A44824" w:rsidRPr="00725303">
        <w:t xml:space="preserve">frequently </w:t>
      </w:r>
      <w:r w:rsidR="00931421" w:rsidRPr="00725303">
        <w:t xml:space="preserve">updated in order to enable uptake of the emerging technologies. </w:t>
      </w:r>
      <w:r w:rsidR="0035739A" w:rsidRPr="00725303">
        <w:t>Uptake of strategic energy technologies is supported mainly by</w:t>
      </w:r>
      <w:r w:rsidR="00931421" w:rsidRPr="00725303">
        <w:t xml:space="preserve"> feed-in tariffs</w:t>
      </w:r>
      <w:r w:rsidR="0035739A" w:rsidRPr="00725303">
        <w:t xml:space="preserve"> schemes</w:t>
      </w:r>
      <w:r w:rsidR="00931421" w:rsidRPr="00725303">
        <w:t>, tradable renewa</w:t>
      </w:r>
      <w:r w:rsidR="0035739A" w:rsidRPr="00725303">
        <w:t>ble certificates, and guarantees</w:t>
      </w:r>
      <w:r w:rsidR="00931421" w:rsidRPr="00725303">
        <w:t>. Also</w:t>
      </w:r>
      <w:r w:rsidRPr="00725303">
        <w:t>underway</w:t>
      </w:r>
      <w:r>
        <w:t xml:space="preserve">, </w:t>
      </w:r>
      <w:r w:rsidR="00931421" w:rsidRPr="00725303">
        <w:t xml:space="preserve">is a major Electricity Market Reform (due by 2016) that </w:t>
      </w:r>
      <w:r w:rsidR="0035739A" w:rsidRPr="00725303">
        <w:t xml:space="preserve">envisages supporting </w:t>
      </w:r>
      <w:r w:rsidR="00931421" w:rsidRPr="00725303">
        <w:t xml:space="preserve">sustainable renewable electricity technologies, at </w:t>
      </w:r>
      <w:r>
        <w:t>a</w:t>
      </w:r>
      <w:r w:rsidR="00931421" w:rsidRPr="00725303">
        <w:t>minimum cost for the consumer.</w:t>
      </w:r>
    </w:p>
    <w:p w:rsidR="00931421" w:rsidRPr="00725303" w:rsidRDefault="005C7F87" w:rsidP="00725303">
      <w:r>
        <w:t>As regards</w:t>
      </w:r>
      <w:r w:rsidR="0035739A" w:rsidRPr="00725303">
        <w:t xml:space="preserve"> to</w:t>
      </w:r>
      <w:r w:rsidR="00352BD6" w:rsidRPr="00725303">
        <w:t xml:space="preserve">cultivation of </w:t>
      </w:r>
      <w:r w:rsidR="00931421" w:rsidRPr="00725303">
        <w:t xml:space="preserve">energy crops, there was a capital investment grant available for new land plantations that closed in 2013. </w:t>
      </w:r>
      <w:r w:rsidR="00D23987">
        <w:t>Fifty percent of the</w:t>
      </w:r>
      <w:r w:rsidR="009E42FA" w:rsidRPr="00725303">
        <w:t xml:space="preserve">cost </w:t>
      </w:r>
      <w:r w:rsidR="00D23987">
        <w:t>for</w:t>
      </w:r>
      <w:r w:rsidR="009241AE">
        <w:t xml:space="preserve"> planting</w:t>
      </w:r>
      <w:r w:rsidR="00D23987">
        <w:t xml:space="preserve"> and cultivating</w:t>
      </w:r>
      <w:r w:rsidR="009E42FA" w:rsidRPr="00725303">
        <w:t>short</w:t>
      </w:r>
      <w:r w:rsidR="00931421" w:rsidRPr="00725303">
        <w:t xml:space="preserve"> rotation coppice and </w:t>
      </w:r>
      <w:r w:rsidR="00D23987">
        <w:t>M</w:t>
      </w:r>
      <w:r w:rsidR="00931421" w:rsidRPr="00725303">
        <w:t>iscanthus</w:t>
      </w:r>
      <w:r w:rsidR="00D23987">
        <w:t>,was</w:t>
      </w:r>
      <w:r w:rsidR="00931421" w:rsidRPr="00725303">
        <w:t xml:space="preserve"> covered </w:t>
      </w:r>
      <w:r w:rsidR="00352BD6" w:rsidRPr="00725303">
        <w:t>by the scheme</w:t>
      </w:r>
      <w:r w:rsidR="00D23987">
        <w:t>,</w:t>
      </w:r>
      <w:r w:rsidR="00352BD6" w:rsidRPr="00725303">
        <w:t xml:space="preserve"> and </w:t>
      </w:r>
      <w:r w:rsidR="00931421" w:rsidRPr="00725303">
        <w:t>for up to three years.</w:t>
      </w:r>
    </w:p>
    <w:p w:rsidR="00931421" w:rsidRPr="00725303" w:rsidRDefault="00931421" w:rsidP="00725303">
      <w:r w:rsidRPr="00725303">
        <w:t xml:space="preserve">Finally </w:t>
      </w:r>
      <w:r w:rsidR="005C7F87">
        <w:t>as regards</w:t>
      </w:r>
      <w:r w:rsidR="00352BD6" w:rsidRPr="00725303">
        <w:t xml:space="preserve"> to</w:t>
      </w:r>
      <w:r w:rsidRPr="00725303">
        <w:t xml:space="preserve"> environmental policies, UK wastewater policy falls under the Water Framework Directive of EU, according to which policy framework focuses on water scarcity and water pollution </w:t>
      </w:r>
      <w:r w:rsidRPr="00725303">
        <w:lastRenderedPageBreak/>
        <w:t xml:space="preserve">priority areas. </w:t>
      </w:r>
      <w:r w:rsidR="00352BD6" w:rsidRPr="00725303">
        <w:t>For</w:t>
      </w:r>
      <w:r w:rsidRPr="00725303">
        <w:t xml:space="preserve"> wastewater, </w:t>
      </w:r>
      <w:r w:rsidR="00352BD6" w:rsidRPr="00725303">
        <w:t xml:space="preserve">strategies for handling and recovering </w:t>
      </w:r>
      <w:r w:rsidRPr="00725303">
        <w:t xml:space="preserve">urban and agricultural wastewater are </w:t>
      </w:r>
      <w:r w:rsidR="007500D0">
        <w:t>i</w:t>
      </w:r>
      <w:r w:rsidRPr="00725303">
        <w:t>n the spotlight.</w:t>
      </w:r>
    </w:p>
    <w:p w:rsidR="00352BD6" w:rsidRDefault="00600B8D">
      <w:r>
        <w:t>In the following section</w:t>
      </w:r>
      <w:r w:rsidR="00931421" w:rsidRPr="00725303">
        <w:t>findings from landscape analysis of UK legisl</w:t>
      </w:r>
      <w:r w:rsidR="00352BD6" w:rsidRPr="00725303">
        <w:t xml:space="preserve">ation </w:t>
      </w:r>
      <w:r w:rsidR="007500D0">
        <w:t>are</w:t>
      </w:r>
      <w:r w:rsidR="00352BD6" w:rsidRPr="00725303">
        <w:t xml:space="preserve"> listed by topic. Firstare presented the </w:t>
      </w:r>
      <w:r w:rsidR="00931421" w:rsidRPr="00725303">
        <w:t>overarching strategies and acts</w:t>
      </w:r>
      <w:r w:rsidR="00352BD6" w:rsidRPr="00725303">
        <w:t>, which are then followed</w:t>
      </w:r>
      <w:r w:rsidR="00931421" w:rsidRPr="00725303">
        <w:t xml:space="preserve"> by targeting incentives.</w:t>
      </w:r>
    </w:p>
    <w:p w:rsidR="00FD364B" w:rsidRPr="00D57951" w:rsidRDefault="00FD364B" w:rsidP="00FD364B">
      <w:pPr>
        <w:rPr>
          <w:color w:val="0000FF" w:themeColor="hyperlink"/>
          <w:u w:val="single"/>
        </w:rPr>
      </w:pPr>
    </w:p>
    <w:p w:rsidR="00FD364B" w:rsidRDefault="00FD364B"/>
    <w:p w:rsidR="00352BD6" w:rsidRPr="006B6390" w:rsidRDefault="00352BD6">
      <w:pPr>
        <w:sectPr w:rsidR="00352BD6" w:rsidRPr="006B6390" w:rsidSect="00931421">
          <w:pgSz w:w="11906" w:h="16838"/>
          <w:pgMar w:top="1440" w:right="1440" w:bottom="1440" w:left="1440" w:header="709" w:footer="709" w:gutter="0"/>
          <w:cols w:space="708"/>
          <w:docGrid w:linePitch="360"/>
        </w:sectPr>
      </w:pPr>
    </w:p>
    <w:p w:rsidR="00C21595" w:rsidRPr="006B6390" w:rsidRDefault="00C21595" w:rsidP="006B6390">
      <w:pPr>
        <w:pStyle w:val="Titolo2"/>
      </w:pPr>
      <w:r w:rsidRPr="006B6390">
        <w:lastRenderedPageBreak/>
        <w:t>General Framework</w:t>
      </w:r>
    </w:p>
    <w:tbl>
      <w:tblPr>
        <w:tblStyle w:val="Sfondomedio1-Colore2"/>
        <w:tblW w:w="14142" w:type="dxa"/>
        <w:tblLook w:val="06A0"/>
      </w:tblPr>
      <w:tblGrid>
        <w:gridCol w:w="2376"/>
        <w:gridCol w:w="11766"/>
      </w:tblGrid>
      <w:tr w:rsidR="00C21595" w:rsidRPr="006B6390" w:rsidTr="006A734D">
        <w:trPr>
          <w:cnfStyle w:val="100000000000"/>
          <w:cantSplit/>
        </w:trPr>
        <w:tc>
          <w:tcPr>
            <w:cnfStyle w:val="001000000000"/>
            <w:tcW w:w="2376" w:type="dxa"/>
          </w:tcPr>
          <w:p w:rsidR="00C21595" w:rsidRPr="006B6390" w:rsidRDefault="00C21595" w:rsidP="006B6390">
            <w:pPr>
              <w:pStyle w:val="Nessunaspaziatura"/>
            </w:pPr>
            <w:r w:rsidRPr="006B6390">
              <w:t>Policy</w:t>
            </w:r>
          </w:p>
        </w:tc>
        <w:tc>
          <w:tcPr>
            <w:tcW w:w="11766" w:type="dxa"/>
          </w:tcPr>
          <w:p w:rsidR="00C21595" w:rsidRPr="006B6390" w:rsidRDefault="00C21595" w:rsidP="006B6390">
            <w:pPr>
              <w:pStyle w:val="Nessunaspaziatura"/>
              <w:cnfStyle w:val="100000000000"/>
            </w:pPr>
            <w:r w:rsidRPr="006B6390">
              <w:t>Key Measures/Aims</w:t>
            </w:r>
          </w:p>
        </w:tc>
      </w:tr>
      <w:tr w:rsidR="00C21595" w:rsidRPr="006B6390" w:rsidTr="006A734D">
        <w:trPr>
          <w:cantSplit/>
        </w:trPr>
        <w:tc>
          <w:tcPr>
            <w:cnfStyle w:val="001000000000"/>
            <w:tcW w:w="2376" w:type="dxa"/>
          </w:tcPr>
          <w:p w:rsidR="00C21595" w:rsidRPr="006B6390" w:rsidRDefault="00C21595" w:rsidP="006A734D">
            <w:pPr>
              <w:pStyle w:val="Nessunaspaziatura"/>
              <w:jc w:val="left"/>
            </w:pPr>
            <w:r w:rsidRPr="006B6390">
              <w:t>Climate Change Act 2008</w:t>
            </w:r>
            <w:r w:rsidRPr="006B6390">
              <w:rPr>
                <w:vertAlign w:val="superscript"/>
              </w:rPr>
              <w:footnoteReference w:id="2"/>
            </w:r>
          </w:p>
        </w:tc>
        <w:tc>
          <w:tcPr>
            <w:tcW w:w="11766" w:type="dxa"/>
          </w:tcPr>
          <w:p w:rsidR="00C21595" w:rsidRPr="006B6390" w:rsidRDefault="00C21595" w:rsidP="006A734D">
            <w:pPr>
              <w:pStyle w:val="Nessunaspaziatura"/>
              <w:jc w:val="left"/>
              <w:cnfStyle w:val="000000000000"/>
            </w:pPr>
            <w:r w:rsidRPr="006B6390">
              <w:t>Aims to reduce CO</w:t>
            </w:r>
            <w:r w:rsidRPr="006B6390">
              <w:rPr>
                <w:vertAlign w:val="subscript"/>
              </w:rPr>
              <w:t>2</w:t>
            </w:r>
            <w:r w:rsidRPr="006B6390">
              <w:t xml:space="preserve"> emissions by </w:t>
            </w:r>
            <w:r w:rsidR="00E95468" w:rsidRPr="006B6390">
              <w:t>34</w:t>
            </w:r>
            <w:r w:rsidRPr="006B6390">
              <w:t xml:space="preserve">% by 2020 and 80% by 2050 compared to 1990 levels. The Climate Change Act introduced a series of Carbon Budgets that cap emissions over five year periods. The first three carbon budgets will run from 2008-12, 2013-17 and 2018-22. </w:t>
            </w:r>
          </w:p>
        </w:tc>
      </w:tr>
      <w:tr w:rsidR="00C21595" w:rsidRPr="006B6390" w:rsidTr="006A734D">
        <w:trPr>
          <w:cantSplit/>
        </w:trPr>
        <w:tc>
          <w:tcPr>
            <w:cnfStyle w:val="001000000000"/>
            <w:tcW w:w="2376" w:type="dxa"/>
          </w:tcPr>
          <w:p w:rsidR="00C21595" w:rsidRPr="006B6390" w:rsidRDefault="00C21595" w:rsidP="006A734D">
            <w:pPr>
              <w:pStyle w:val="Nessunaspaziatura"/>
              <w:jc w:val="left"/>
            </w:pPr>
            <w:r w:rsidRPr="006B6390">
              <w:t>The Low Carbon Transition Plan 2009</w:t>
            </w:r>
            <w:r w:rsidRPr="006B6390">
              <w:rPr>
                <w:vertAlign w:val="superscript"/>
              </w:rPr>
              <w:footnoteReference w:id="3"/>
            </w:r>
          </w:p>
          <w:p w:rsidR="00C21595" w:rsidRPr="006B6390" w:rsidRDefault="00C21595" w:rsidP="006A734D">
            <w:pPr>
              <w:pStyle w:val="Nessunaspaziatura"/>
              <w:jc w:val="left"/>
              <w:rPr>
                <w:color w:val="0000FF" w:themeColor="hyperlink"/>
                <w:u w:val="single"/>
              </w:rPr>
            </w:pPr>
          </w:p>
        </w:tc>
        <w:tc>
          <w:tcPr>
            <w:tcW w:w="11766" w:type="dxa"/>
          </w:tcPr>
          <w:p w:rsidR="0080080C" w:rsidRPr="006B6390" w:rsidRDefault="00C21595" w:rsidP="006A734D">
            <w:pPr>
              <w:pStyle w:val="Nessunaspaziatura"/>
              <w:jc w:val="left"/>
              <w:cnfStyle w:val="000000000000"/>
            </w:pPr>
            <w:r w:rsidRPr="006B6390">
              <w:t xml:space="preserve">Outlines how the UK will meet the </w:t>
            </w:r>
            <w:r w:rsidR="00E36547" w:rsidRPr="006B6390">
              <w:t>3</w:t>
            </w:r>
            <w:r w:rsidR="0080080C" w:rsidRPr="006B6390">
              <w:t>4</w:t>
            </w:r>
            <w:r w:rsidR="00B9538F" w:rsidRPr="006B6390">
              <w:t>%</w:t>
            </w:r>
            <w:r w:rsidR="00E36547" w:rsidRPr="006B6390">
              <w:t xml:space="preserve"> cut in emission </w:t>
            </w:r>
            <w:r w:rsidR="006523AC">
              <w:t>by</w:t>
            </w:r>
            <w:r w:rsidR="00E36547" w:rsidRPr="006B6390">
              <w:t xml:space="preserve"> 2020 and </w:t>
            </w:r>
            <w:r w:rsidR="003172B8" w:rsidRPr="006B6390">
              <w:t>80</w:t>
            </w:r>
            <w:r w:rsidR="00B9538F" w:rsidRPr="006B6390">
              <w:t>%</w:t>
            </w:r>
            <w:r w:rsidRPr="006B6390">
              <w:t xml:space="preserve"> by 20</w:t>
            </w:r>
            <w:r w:rsidR="003172B8" w:rsidRPr="006B6390">
              <w:t>5</w:t>
            </w:r>
            <w:r w:rsidRPr="006B6390">
              <w:t xml:space="preserve">0 </w:t>
            </w:r>
            <w:r w:rsidR="006523AC" w:rsidRPr="006B6390">
              <w:t xml:space="preserve">on 1990 levels </w:t>
            </w:r>
            <w:r w:rsidRPr="006B6390">
              <w:t xml:space="preserve">through emission reductions </w:t>
            </w:r>
            <w:r w:rsidR="0080080C" w:rsidRPr="006B6390">
              <w:t>in UK economy</w:t>
            </w:r>
            <w:r w:rsidR="006523AC">
              <w:t>. Target sectors include</w:t>
            </w:r>
            <w:r w:rsidR="0080080C" w:rsidRPr="006B6390">
              <w:t xml:space="preserve"> power and heavy industry; transport; homes and communities; workplaces and jobs; and farming, land and waste.</w:t>
            </w:r>
          </w:p>
          <w:p w:rsidR="00C21595" w:rsidRPr="006B6390" w:rsidRDefault="00C21595" w:rsidP="007A1C29">
            <w:pPr>
              <w:pStyle w:val="Nessunaspaziatura"/>
              <w:jc w:val="left"/>
              <w:cnfStyle w:val="000000000000"/>
            </w:pPr>
            <w:r w:rsidRPr="006B6390">
              <w:t xml:space="preserve">This includes </w:t>
            </w:r>
            <w:r w:rsidR="00F53055" w:rsidRPr="006B6390">
              <w:t xml:space="preserve">1) </w:t>
            </w:r>
            <w:r w:rsidRPr="006B6390">
              <w:t xml:space="preserve">produce around 30% of our electricity from renewables, </w:t>
            </w:r>
            <w:r w:rsidR="00F53055" w:rsidRPr="006B6390">
              <w:t xml:space="preserve">2) </w:t>
            </w:r>
            <w:r w:rsidRPr="006B6390">
              <w:t>fund</w:t>
            </w:r>
            <w:r w:rsidR="00F53055" w:rsidRPr="006B6390">
              <w:t xml:space="preserve"> up to 4demonstrations of CC</w:t>
            </w:r>
            <w:r w:rsidRPr="006B6390">
              <w:t>S projects</w:t>
            </w:r>
            <w:r w:rsidR="00E46417" w:rsidRPr="006B6390">
              <w:t xml:space="preserve"> for coal-fired power plants</w:t>
            </w:r>
            <w:r w:rsidR="00F53055" w:rsidRPr="006B6390">
              <w:t xml:space="preserve">, 3) secure funding and give incentive for </w:t>
            </w:r>
            <w:r w:rsidRPr="006B6390">
              <w:t xml:space="preserve">improving energy efficiency in </w:t>
            </w:r>
            <w:r w:rsidR="00F53055" w:rsidRPr="006B6390">
              <w:t xml:space="preserve">residential </w:t>
            </w:r>
            <w:r w:rsidRPr="006B6390">
              <w:t xml:space="preserve">buildings, </w:t>
            </w:r>
            <w:r w:rsidR="00F53055" w:rsidRPr="006B6390">
              <w:t xml:space="preserve">4) provide £120 million and £60million for development and use of </w:t>
            </w:r>
            <w:r w:rsidR="00C56844">
              <w:t>off-</w:t>
            </w:r>
            <w:r w:rsidR="00F53055" w:rsidRPr="006B6390">
              <w:t xml:space="preserve">shore wind farms and marine energy respectively, 5) </w:t>
            </w:r>
            <w:r w:rsidR="00E46417" w:rsidRPr="006B6390">
              <w:t xml:space="preserve">develop framework for tackling emissions from farming, and 6) </w:t>
            </w:r>
            <w:r w:rsidR="00F53055" w:rsidRPr="006B6390">
              <w:t xml:space="preserve">cut emissions from road transport by </w:t>
            </w:r>
            <w:r w:rsidR="00FE6AD8" w:rsidRPr="006B6390">
              <w:t xml:space="preserve">improving car engines, incorporating clean technologies, and </w:t>
            </w:r>
            <w:r w:rsidRPr="006B6390">
              <w:t>committing to sourcing 10% of UK transport fuel by 2020.</w:t>
            </w:r>
          </w:p>
        </w:tc>
      </w:tr>
      <w:tr w:rsidR="00CE25AC" w:rsidRPr="006B6390" w:rsidTr="006A734D">
        <w:trPr>
          <w:cantSplit/>
        </w:trPr>
        <w:tc>
          <w:tcPr>
            <w:cnfStyle w:val="001000000000"/>
            <w:tcW w:w="2376" w:type="dxa"/>
          </w:tcPr>
          <w:p w:rsidR="00D40127" w:rsidRPr="006B6390" w:rsidRDefault="00D40127" w:rsidP="006A734D">
            <w:pPr>
              <w:pStyle w:val="Nessunaspaziatura"/>
              <w:jc w:val="left"/>
            </w:pPr>
            <w:r w:rsidRPr="006B6390">
              <w:t xml:space="preserve">The Carbon Plan: </w:t>
            </w:r>
          </w:p>
          <w:p w:rsidR="00CE25AC" w:rsidRPr="006B6390" w:rsidRDefault="00D40127" w:rsidP="006A734D">
            <w:pPr>
              <w:pStyle w:val="Nessunaspaziatura"/>
              <w:jc w:val="left"/>
            </w:pPr>
            <w:r w:rsidRPr="006B6390">
              <w:t>Delivering our low carbon future 201</w:t>
            </w:r>
            <w:r w:rsidR="00522C7C" w:rsidRPr="006B6390">
              <w:t>1</w:t>
            </w:r>
            <w:r w:rsidRPr="006B6390">
              <w:rPr>
                <w:vertAlign w:val="superscript"/>
              </w:rPr>
              <w:footnoteReference w:id="4"/>
            </w:r>
          </w:p>
        </w:tc>
        <w:tc>
          <w:tcPr>
            <w:tcW w:w="11766" w:type="dxa"/>
          </w:tcPr>
          <w:p w:rsidR="00CE25AC" w:rsidRPr="006B6390" w:rsidRDefault="007F2AC4" w:rsidP="006A734D">
            <w:pPr>
              <w:pStyle w:val="Nessunaspaziatura"/>
              <w:jc w:val="left"/>
              <w:cnfStyle w:val="000000000000"/>
            </w:pPr>
            <w:r w:rsidRPr="006B6390">
              <w:t xml:space="preserve">Outlines how the UK will facilitate decarbonisation of </w:t>
            </w:r>
            <w:r w:rsidR="00AA0450" w:rsidRPr="006B6390">
              <w:t xml:space="preserve">UK energy </w:t>
            </w:r>
            <w:r w:rsidRPr="006B6390">
              <w:t xml:space="preserve">economy </w:t>
            </w:r>
            <w:r w:rsidR="00522C7C" w:rsidRPr="006B6390">
              <w:t xml:space="preserve">by 2050 </w:t>
            </w:r>
            <w:r w:rsidRPr="006B6390">
              <w:t xml:space="preserve">for meeting 80% </w:t>
            </w:r>
            <w:r w:rsidR="00522C7C" w:rsidRPr="006B6390">
              <w:t>CO2 reduction of</w:t>
            </w:r>
            <w:r w:rsidRPr="006B6390">
              <w:t xml:space="preserve"> emission</w:t>
            </w:r>
            <w:r w:rsidR="00522C7C" w:rsidRPr="006B6390">
              <w:t>s compared to</w:t>
            </w:r>
            <w:r w:rsidRPr="006B6390">
              <w:t xml:space="preserve"> 1990 levels, and specifically in buildings, transport, industry, power, and agriculture, land use, </w:t>
            </w:r>
            <w:r w:rsidR="004F7658" w:rsidRPr="006B6390">
              <w:t>forestry,</w:t>
            </w:r>
            <w:r w:rsidRPr="006B6390">
              <w:t xml:space="preserve"> and waste.</w:t>
            </w:r>
          </w:p>
          <w:p w:rsidR="007F2AC4" w:rsidRPr="006B6390" w:rsidRDefault="00522C7C" w:rsidP="006A734D">
            <w:pPr>
              <w:pStyle w:val="Nessunaspaziatura"/>
              <w:jc w:val="left"/>
              <w:cnfStyle w:val="000000000000"/>
            </w:pPr>
            <w:r w:rsidRPr="006B6390">
              <w:t xml:space="preserve">This includes 1) Gradual replacement of fossil fuels </w:t>
            </w:r>
            <w:r w:rsidR="004F6D2D" w:rsidRPr="006B6390">
              <w:t>with</w:t>
            </w:r>
            <w:r w:rsidRPr="006B6390">
              <w:t xml:space="preserve"> electricity, sustainable bioenergy, nuclear, and hydrogen; 2) decarbonisation of electricity, by increas</w:t>
            </w:r>
            <w:r w:rsidR="00B9399E">
              <w:t>ing</w:t>
            </w:r>
            <w:r w:rsidRPr="006B6390">
              <w:t xml:space="preserve"> efficiency of production, distribution, and use, and through coupling with CCS projects</w:t>
            </w:r>
          </w:p>
        </w:tc>
      </w:tr>
      <w:tr w:rsidR="00C21595" w:rsidRPr="006B6390" w:rsidTr="006A734D">
        <w:trPr>
          <w:cantSplit/>
        </w:trPr>
        <w:tc>
          <w:tcPr>
            <w:cnfStyle w:val="001000000000"/>
            <w:tcW w:w="2376" w:type="dxa"/>
          </w:tcPr>
          <w:p w:rsidR="00C21595" w:rsidRPr="006B6390" w:rsidRDefault="00C21595" w:rsidP="006A734D">
            <w:pPr>
              <w:pStyle w:val="Nessunaspaziatura"/>
              <w:jc w:val="left"/>
            </w:pPr>
            <w:r w:rsidRPr="006B6390">
              <w:t>National Renewable Energy Action Plan 2011</w:t>
            </w:r>
            <w:r w:rsidRPr="006B6390">
              <w:rPr>
                <w:vertAlign w:val="superscript"/>
              </w:rPr>
              <w:footnoteReference w:id="5"/>
            </w:r>
          </w:p>
        </w:tc>
        <w:tc>
          <w:tcPr>
            <w:tcW w:w="11766" w:type="dxa"/>
          </w:tcPr>
          <w:p w:rsidR="00C21595" w:rsidRPr="006B6390" w:rsidRDefault="00C21595" w:rsidP="006A734D">
            <w:pPr>
              <w:pStyle w:val="Nessunaspaziatura"/>
              <w:jc w:val="left"/>
              <w:cnfStyle w:val="000000000000"/>
            </w:pPr>
            <w:r w:rsidRPr="006B6390">
              <w:t xml:space="preserve">Under the EU </w:t>
            </w:r>
            <w:hyperlink r:id="rId11" w:history="1">
              <w:r w:rsidRPr="006B6390">
                <w:rPr>
                  <w:color w:val="0000FF" w:themeColor="hyperlink"/>
                  <w:u w:val="single"/>
                </w:rPr>
                <w:t>Renewable Energy Directive</w:t>
              </w:r>
            </w:hyperlink>
            <w:r w:rsidRPr="006B6390">
              <w:t xml:space="preserve">, the UK is obliged to meet a target of </w:t>
            </w:r>
            <w:r w:rsidR="006523AC">
              <w:t xml:space="preserve">sourcing </w:t>
            </w:r>
            <w:r w:rsidRPr="006B6390">
              <w:t xml:space="preserve">15% </w:t>
            </w:r>
            <w:r w:rsidR="00B9399E">
              <w:t>o</w:t>
            </w:r>
            <w:r w:rsidR="006523AC">
              <w:t xml:space="preserve">f consumed </w:t>
            </w:r>
            <w:r w:rsidRPr="006B6390">
              <w:t>energy from renewable</w:t>
            </w:r>
            <w:r w:rsidR="006523AC">
              <w:t>s</w:t>
            </w:r>
            <w:r w:rsidRPr="006B6390">
              <w:t xml:space="preserve"> by 2020, </w:t>
            </w:r>
            <w:r w:rsidR="00EC6A16" w:rsidRPr="00725303">
              <w:t xml:space="preserve">including </w:t>
            </w:r>
            <w:r w:rsidR="00EC6A16">
              <w:t xml:space="preserve">30% of electricity, 12% of heat, and </w:t>
            </w:r>
            <w:r w:rsidR="00EC6A16" w:rsidRPr="00725303">
              <w:t xml:space="preserve">10% </w:t>
            </w:r>
            <w:r w:rsidR="00EC6A16">
              <w:t>of transport</w:t>
            </w:r>
            <w:r w:rsidRPr="006B6390">
              <w:t xml:space="preserve">. This document outlines the measures and the trajectory by which these targets will be met. </w:t>
            </w:r>
          </w:p>
          <w:p w:rsidR="002060A8" w:rsidRPr="006B6390" w:rsidRDefault="002060A8" w:rsidP="006A734D">
            <w:pPr>
              <w:pStyle w:val="Nessunaspaziatura"/>
              <w:jc w:val="left"/>
              <w:cnfStyle w:val="000000000000"/>
              <w:rPr>
                <w:rFonts w:cs="Arial"/>
                <w:color w:val="000000"/>
              </w:rPr>
            </w:pPr>
            <w:r w:rsidRPr="006B6390">
              <w:rPr>
                <w:rFonts w:cs="Arial"/>
                <w:color w:val="000000"/>
              </w:rPr>
              <w:t>The policy framework is made up of three key components: Financial support for renewables; Unblocking barriers to delivery; and Developing emerging technologies.</w:t>
            </w:r>
          </w:p>
        </w:tc>
      </w:tr>
      <w:tr w:rsidR="00C21595" w:rsidRPr="006B6390" w:rsidTr="006A734D">
        <w:trPr>
          <w:cantSplit/>
        </w:trPr>
        <w:tc>
          <w:tcPr>
            <w:cnfStyle w:val="001000000000"/>
            <w:tcW w:w="2376" w:type="dxa"/>
          </w:tcPr>
          <w:p w:rsidR="00C21595" w:rsidRPr="006B6390" w:rsidRDefault="00C21595" w:rsidP="006A734D">
            <w:pPr>
              <w:pStyle w:val="Nessunaspaziatura"/>
              <w:jc w:val="left"/>
              <w:rPr>
                <w:vertAlign w:val="superscript"/>
              </w:rPr>
            </w:pPr>
            <w:r w:rsidRPr="006B6390">
              <w:lastRenderedPageBreak/>
              <w:t>UK Renewable Energy Roadmap 2011</w:t>
            </w:r>
            <w:r w:rsidRPr="006B6390">
              <w:rPr>
                <w:vertAlign w:val="superscript"/>
              </w:rPr>
              <w:footnoteReference w:id="6"/>
            </w:r>
          </w:p>
          <w:p w:rsidR="00C21595" w:rsidRPr="006B6390" w:rsidRDefault="00C21595" w:rsidP="006A734D">
            <w:pPr>
              <w:pStyle w:val="Nessunaspaziatura"/>
              <w:jc w:val="left"/>
              <w:rPr>
                <w:color w:val="0000FF" w:themeColor="hyperlink"/>
                <w:u w:val="single"/>
              </w:rPr>
            </w:pPr>
          </w:p>
        </w:tc>
        <w:tc>
          <w:tcPr>
            <w:tcW w:w="11766" w:type="dxa"/>
          </w:tcPr>
          <w:p w:rsidR="00C21595" w:rsidRPr="006B6390" w:rsidRDefault="00C21595" w:rsidP="006A734D">
            <w:pPr>
              <w:pStyle w:val="Nessunaspaziatura"/>
              <w:jc w:val="left"/>
              <w:cnfStyle w:val="000000000000"/>
            </w:pPr>
            <w:r w:rsidRPr="006B6390">
              <w:t>The UK Renewable Energy Roadmap outlines the 8 key technologies which have the greatest potential for the UK to meet the RED targets. For each of these technologies</w:t>
            </w:r>
            <w:r w:rsidR="00F307BB" w:rsidRPr="006B6390">
              <w:t xml:space="preserve"> (on- and off-shore wind, marine energy, biomass electricity, and biomass heat, ground source and air source heat pumps, and transport fuels)</w:t>
            </w:r>
            <w:r w:rsidRPr="006B6390">
              <w:t xml:space="preserve"> the current deployment of that technology</w:t>
            </w:r>
            <w:r w:rsidR="00F307BB" w:rsidRPr="006B6390">
              <w:t xml:space="preserve"> is indicated</w:t>
            </w:r>
            <w:r w:rsidRPr="006B6390">
              <w:t xml:space="preserve">, </w:t>
            </w:r>
            <w:r w:rsidR="006523AC">
              <w:t xml:space="preserve">together with the </w:t>
            </w:r>
            <w:r w:rsidRPr="006B6390">
              <w:t>potential future uptake trajectories and the key barriers towards achieving uptake of that technology. Actions to address these barriers will be established and the impact of these actions on deployment will be monitored over time and new roadmaps developed to achieve these targets.</w:t>
            </w:r>
          </w:p>
        </w:tc>
      </w:tr>
      <w:tr w:rsidR="00C21595" w:rsidRPr="006B6390" w:rsidTr="006A734D">
        <w:trPr>
          <w:cantSplit/>
        </w:trPr>
        <w:tc>
          <w:tcPr>
            <w:cnfStyle w:val="001000000000"/>
            <w:tcW w:w="2376" w:type="dxa"/>
          </w:tcPr>
          <w:p w:rsidR="00C21595" w:rsidRPr="006B6390" w:rsidRDefault="00C21595" w:rsidP="006A734D">
            <w:pPr>
              <w:pStyle w:val="Nessunaspaziatura"/>
              <w:jc w:val="left"/>
              <w:rPr>
                <w:vertAlign w:val="superscript"/>
              </w:rPr>
            </w:pPr>
            <w:r w:rsidRPr="006B6390">
              <w:t>Planning our Electric future White Paper2011</w:t>
            </w:r>
            <w:r w:rsidRPr="006B6390">
              <w:rPr>
                <w:vertAlign w:val="superscript"/>
              </w:rPr>
              <w:footnoteReference w:id="7"/>
            </w:r>
            <w:r w:rsidRPr="006B6390">
              <w:t xml:space="preserve"> (Electricity Market Reform)</w:t>
            </w:r>
          </w:p>
          <w:p w:rsidR="00C21595" w:rsidRPr="006B6390" w:rsidRDefault="00C21595" w:rsidP="006A734D">
            <w:pPr>
              <w:pStyle w:val="Nessunaspaziatura"/>
              <w:jc w:val="left"/>
            </w:pPr>
          </w:p>
        </w:tc>
        <w:tc>
          <w:tcPr>
            <w:tcW w:w="11766" w:type="dxa"/>
          </w:tcPr>
          <w:p w:rsidR="004F1D98" w:rsidRDefault="00C21595" w:rsidP="006A734D">
            <w:pPr>
              <w:pStyle w:val="Nessunaspaziatura"/>
              <w:jc w:val="left"/>
              <w:cnfStyle w:val="000000000000"/>
            </w:pPr>
            <w:r w:rsidRPr="006B6390">
              <w:t xml:space="preserve">Outlines the possible mechanisms to create a secure mix of electricity sources including gas, new nuclear, renewables, and carbon capture and storage, attract investment and reduce impacts on customer bills. Within the Electricity Market Reform package, due to be introduced from 2016, </w:t>
            </w:r>
            <w:r w:rsidR="00375002" w:rsidRPr="006B6390">
              <w:t xml:space="preserve">there are </w:t>
            </w:r>
            <w:r w:rsidRPr="006B6390">
              <w:t>a range of fiscal incentives to promote low carbon energy</w:t>
            </w:r>
          </w:p>
          <w:p w:rsidR="004F1D98" w:rsidRDefault="00C02D59" w:rsidP="006A734D">
            <w:pPr>
              <w:pStyle w:val="Nessunaspaziatura"/>
              <w:jc w:val="left"/>
              <w:cnfStyle w:val="000000000000"/>
            </w:pPr>
            <w:r w:rsidRPr="006B6390">
              <w:t>1)</w:t>
            </w:r>
            <w:r w:rsidR="00C21595" w:rsidRPr="006B6390">
              <w:t xml:space="preserve"> A carbon floor price will be introduced to give a </w:t>
            </w:r>
            <w:r w:rsidR="00C21595" w:rsidRPr="00CE0CE2">
              <w:t>guaranteed price for carbon</w:t>
            </w:r>
            <w:r w:rsidRPr="00CE0CE2">
              <w:t>;</w:t>
            </w:r>
          </w:p>
          <w:p w:rsidR="004F1D98" w:rsidRDefault="00C02D59" w:rsidP="006A734D">
            <w:pPr>
              <w:pStyle w:val="Nessunaspaziatura"/>
              <w:jc w:val="left"/>
              <w:cnfStyle w:val="000000000000"/>
            </w:pPr>
            <w:r w:rsidRPr="00CE0CE2">
              <w:t>2)</w:t>
            </w:r>
            <w:r w:rsidR="00C21595" w:rsidRPr="00CE0CE2">
              <w:t xml:space="preserve"> Carbon will be priced at £15.70/tCO</w:t>
            </w:r>
            <w:r w:rsidR="00C21595" w:rsidRPr="00CE0CE2">
              <w:rPr>
                <w:vertAlign w:val="subscript"/>
              </w:rPr>
              <w:t>2</w:t>
            </w:r>
            <w:r w:rsidR="00C21595" w:rsidRPr="00CE0CE2">
              <w:t xml:space="preserve"> in 2013, increasing to £30/tCO</w:t>
            </w:r>
            <w:r w:rsidR="00C21595" w:rsidRPr="00CE0CE2">
              <w:rPr>
                <w:vertAlign w:val="subscript"/>
              </w:rPr>
              <w:t>2</w:t>
            </w:r>
            <w:r w:rsidR="00C21595" w:rsidRPr="00CE0CE2">
              <w:t xml:space="preserve"> in 2020 and £70/tCO2 in 2050</w:t>
            </w:r>
            <w:r w:rsidRPr="00CE0CE2">
              <w:t xml:space="preserve">; </w:t>
            </w:r>
          </w:p>
          <w:p w:rsidR="004F1D98" w:rsidRDefault="00C02D59" w:rsidP="006A734D">
            <w:pPr>
              <w:pStyle w:val="Nessunaspaziatura"/>
              <w:jc w:val="left"/>
              <w:cnfStyle w:val="000000000000"/>
            </w:pPr>
            <w:r w:rsidRPr="00CE0CE2">
              <w:t xml:space="preserve">3) </w:t>
            </w:r>
            <w:r w:rsidR="00C21595" w:rsidRPr="00CE0CE2">
              <w:t>A feed</w:t>
            </w:r>
            <w:r w:rsidRPr="00CE0CE2">
              <w:t>-</w:t>
            </w:r>
            <w:r w:rsidR="00C21595" w:rsidRPr="00CE0CE2">
              <w:t>in tariff with contract for difference (CfD) scheme will promote long term certai</w:t>
            </w:r>
            <w:r w:rsidR="004F1D98">
              <w:t>nty over revenues to investors;</w:t>
            </w:r>
          </w:p>
          <w:p w:rsidR="004F1D98" w:rsidRDefault="00C02D59" w:rsidP="006A734D">
            <w:pPr>
              <w:pStyle w:val="Nessunaspaziatura"/>
              <w:jc w:val="left"/>
              <w:cnfStyle w:val="000000000000"/>
            </w:pPr>
            <w:r w:rsidRPr="00CE0CE2">
              <w:t xml:space="preserve">4) </w:t>
            </w:r>
            <w:r w:rsidR="00C21595" w:rsidRPr="00CE0CE2">
              <w:t>a capacity mechanism where energy suppliers provide demand</w:t>
            </w:r>
            <w:r w:rsidRPr="00CE0CE2">
              <w:t>-</w:t>
            </w:r>
            <w:r w:rsidR="00C21595" w:rsidRPr="00CE0CE2">
              <w:t xml:space="preserve">response generation, and </w:t>
            </w:r>
          </w:p>
          <w:p w:rsidR="00C21595" w:rsidRPr="006B6390" w:rsidRDefault="00C02D59" w:rsidP="006A734D">
            <w:pPr>
              <w:pStyle w:val="Nessunaspaziatura"/>
              <w:jc w:val="left"/>
              <w:cnfStyle w:val="000000000000"/>
            </w:pPr>
            <w:r w:rsidRPr="00CE0CE2">
              <w:t xml:space="preserve">5) </w:t>
            </w:r>
            <w:r w:rsidR="00C21595" w:rsidRPr="00CE0CE2">
              <w:t>an</w:t>
            </w:r>
            <w:r w:rsidRPr="00CE0CE2">
              <w:t xml:space="preserve">emissions </w:t>
            </w:r>
            <w:r w:rsidR="00C21595" w:rsidRPr="00CE0CE2">
              <w:t>performance standard set at 450g CO</w:t>
            </w:r>
            <w:r w:rsidR="00C21595" w:rsidRPr="00CE0CE2">
              <w:rPr>
                <w:vertAlign w:val="subscript"/>
              </w:rPr>
              <w:t>2</w:t>
            </w:r>
            <w:r w:rsidR="00C21595" w:rsidRPr="00CE0CE2">
              <w:t>/kWh, encouraging</w:t>
            </w:r>
            <w:r w:rsidR="00C21595" w:rsidRPr="006B6390">
              <w:t xml:space="preserve"> carbon capture from coal fired power stations. </w:t>
            </w:r>
          </w:p>
        </w:tc>
      </w:tr>
      <w:tr w:rsidR="008633CC" w:rsidRPr="006B6390" w:rsidTr="006A734D">
        <w:trPr>
          <w:cantSplit/>
        </w:trPr>
        <w:tc>
          <w:tcPr>
            <w:cnfStyle w:val="001000000000"/>
            <w:tcW w:w="2376" w:type="dxa"/>
          </w:tcPr>
          <w:p w:rsidR="008633CC" w:rsidRPr="006B6390" w:rsidRDefault="008633CC" w:rsidP="006A734D">
            <w:pPr>
              <w:pStyle w:val="Nessunaspaziatura"/>
              <w:jc w:val="left"/>
            </w:pPr>
            <w:r w:rsidRPr="006B6390">
              <w:t xml:space="preserve">Renewables Action Plan </w:t>
            </w:r>
            <w:r w:rsidR="004A724B" w:rsidRPr="006B6390">
              <w:t xml:space="preserve">(RAP) </w:t>
            </w:r>
            <w:r w:rsidRPr="006B6390">
              <w:t>for Scotland 2009</w:t>
            </w:r>
            <w:r w:rsidR="0036152B" w:rsidRPr="006B6390">
              <w:rPr>
                <w:rStyle w:val="Rimandonotaapidipagina"/>
              </w:rPr>
              <w:footnoteReference w:id="8"/>
            </w:r>
          </w:p>
        </w:tc>
        <w:tc>
          <w:tcPr>
            <w:tcW w:w="11766" w:type="dxa"/>
          </w:tcPr>
          <w:p w:rsidR="008633CC" w:rsidRPr="006B6390" w:rsidRDefault="004A724B" w:rsidP="006A734D">
            <w:pPr>
              <w:pStyle w:val="Nessunaspaziatura"/>
              <w:jc w:val="left"/>
              <w:cnfStyle w:val="000000000000"/>
            </w:pPr>
            <w:r w:rsidRPr="006B6390">
              <w:t xml:space="preserve">Outlines how Scotland will facilitate the strategy of </w:t>
            </w:r>
            <w:r w:rsidR="00571897" w:rsidRPr="006B6390">
              <w:t xml:space="preserve">sourcing </w:t>
            </w:r>
            <w:r w:rsidRPr="006B6390">
              <w:t>20% of energy consumption from renewables, and more specifically 50% of electricity, 10% of renewable transport, and 11% of heat. T</w:t>
            </w:r>
            <w:r w:rsidR="00CE0CE2">
              <w:t>o achieve this, RAP envis</w:t>
            </w:r>
            <w:r w:rsidR="00946F36">
              <w:t>ages</w:t>
            </w:r>
            <w:r w:rsidRPr="006B6390">
              <w:t>decarbonisation of energy by focusing in Energy efficiency, Low carbon vehicles, CCS, and renewable he</w:t>
            </w:r>
            <w:r w:rsidR="00571897" w:rsidRPr="006B6390">
              <w:t>at</w:t>
            </w:r>
            <w:r w:rsidR="00E15075" w:rsidRPr="006B6390">
              <w:t xml:space="preserve"> sectors</w:t>
            </w:r>
            <w:r w:rsidR="00CE0CE2">
              <w:t>. RAP</w:t>
            </w:r>
            <w:r w:rsidR="00946F36">
              <w:t>wants</w:t>
            </w:r>
            <w:r w:rsidR="00571897" w:rsidRPr="006B6390">
              <w:t xml:space="preserve"> to identify what needs to be done, make a plan for the first 24 months, and develop a live document tracking progress in economic and technological developments.</w:t>
            </w:r>
          </w:p>
        </w:tc>
      </w:tr>
      <w:tr w:rsidR="00FD14E8" w:rsidRPr="006B6390" w:rsidTr="006A734D">
        <w:trPr>
          <w:cantSplit/>
        </w:trPr>
        <w:tc>
          <w:tcPr>
            <w:cnfStyle w:val="001000000000"/>
            <w:tcW w:w="2376" w:type="dxa"/>
          </w:tcPr>
          <w:p w:rsidR="00FD14E8" w:rsidRPr="006B6390" w:rsidRDefault="00FD14E8" w:rsidP="006A734D">
            <w:pPr>
              <w:pStyle w:val="Nessunaspaziatura"/>
              <w:jc w:val="left"/>
            </w:pPr>
            <w:r w:rsidRPr="006B6390">
              <w:t xml:space="preserve">National Policy Statement </w:t>
            </w:r>
          </w:p>
          <w:p w:rsidR="00FD14E8" w:rsidRPr="006B6390" w:rsidRDefault="00FD14E8" w:rsidP="006A734D">
            <w:pPr>
              <w:pStyle w:val="Nessunaspaziatura"/>
              <w:jc w:val="left"/>
            </w:pPr>
            <w:r w:rsidRPr="006B6390">
              <w:t xml:space="preserve">for Waste Water </w:t>
            </w:r>
            <w:r w:rsidRPr="006B6390">
              <w:rPr>
                <w:rStyle w:val="Rimandonotaapidipagina"/>
              </w:rPr>
              <w:footnoteReference w:id="9"/>
            </w:r>
          </w:p>
        </w:tc>
        <w:tc>
          <w:tcPr>
            <w:tcW w:w="11766" w:type="dxa"/>
          </w:tcPr>
          <w:p w:rsidR="00FD14E8" w:rsidRPr="006B6390" w:rsidRDefault="00FD14E8" w:rsidP="006A734D">
            <w:pPr>
              <w:pStyle w:val="Nessunaspaziatura"/>
              <w:jc w:val="left"/>
              <w:cnfStyle w:val="000000000000"/>
            </w:pPr>
            <w:r w:rsidRPr="006B6390">
              <w:t xml:space="preserve">• Sustainable development–to seek waste water infrastructure that allows us to live within environmental limits and that Helps ensure a strong, healthy and just society, having regard to environmental, social and economic considerations; </w:t>
            </w:r>
          </w:p>
          <w:p w:rsidR="00FD14E8" w:rsidRPr="006B6390" w:rsidRDefault="00FD14E8" w:rsidP="006A734D">
            <w:pPr>
              <w:pStyle w:val="Nessunaspaziatura"/>
              <w:jc w:val="left"/>
              <w:cnfStyle w:val="000000000000"/>
            </w:pPr>
            <w:r w:rsidRPr="006B6390">
              <w:t xml:space="preserve">• Public health and environmental improvement – to  continue to meetour obligations under the Urban Waste Water Treatment Directive (UWWTD) 21 by providing suitable collection and treatment systems to  limit pollution of the environment; </w:t>
            </w:r>
          </w:p>
          <w:p w:rsidR="00FD14E8" w:rsidRPr="006B6390" w:rsidRDefault="00FD14E8" w:rsidP="006A734D">
            <w:pPr>
              <w:pStyle w:val="Nessunaspaziatura"/>
              <w:jc w:val="left"/>
              <w:cnfStyle w:val="000000000000"/>
            </w:pPr>
            <w:r w:rsidRPr="006B6390">
              <w:t xml:space="preserve">• To improve water quality in the naturalenvironment and meet  our obligations under Related European Directives, such as the Habitats Directive 22 , the Water Framework Directive (WFD) 23 and its Daughter </w:t>
            </w:r>
            <w:r w:rsidR="000F5E29" w:rsidRPr="006B6390">
              <w:t>Directives</w:t>
            </w:r>
          </w:p>
        </w:tc>
      </w:tr>
      <w:tr w:rsidR="00BF437A" w:rsidRPr="006B6390" w:rsidTr="006A734D">
        <w:trPr>
          <w:cantSplit/>
        </w:trPr>
        <w:tc>
          <w:tcPr>
            <w:cnfStyle w:val="001000000000"/>
            <w:tcW w:w="2376" w:type="dxa"/>
          </w:tcPr>
          <w:p w:rsidR="00BF437A" w:rsidRPr="006B6390" w:rsidRDefault="00BF437A" w:rsidP="006A734D">
            <w:pPr>
              <w:pStyle w:val="Nessunaspaziatura"/>
              <w:jc w:val="left"/>
            </w:pPr>
            <w:r w:rsidRPr="006B6390">
              <w:lastRenderedPageBreak/>
              <w:t>The Future of Water Resources in the UK</w:t>
            </w:r>
            <w:r w:rsidRPr="006B6390">
              <w:rPr>
                <w:rStyle w:val="Rimandonotaapidipagina"/>
              </w:rPr>
              <w:footnoteReference w:id="10"/>
            </w:r>
            <w:r w:rsidRPr="006B6390">
              <w:t xml:space="preserve"> - 2011</w:t>
            </w:r>
          </w:p>
        </w:tc>
        <w:tc>
          <w:tcPr>
            <w:tcW w:w="11766" w:type="dxa"/>
          </w:tcPr>
          <w:p w:rsidR="00BF437A" w:rsidRPr="006B6390" w:rsidRDefault="00BF437A" w:rsidP="006A734D">
            <w:pPr>
              <w:pStyle w:val="Nessunaspaziatura"/>
              <w:jc w:val="left"/>
              <w:cnfStyle w:val="000000000000"/>
            </w:pPr>
            <w:r w:rsidRPr="006B6390">
              <w:t>The aim of this document is to explain, from an industry perspective, the current issu</w:t>
            </w:r>
            <w:r w:rsidR="006A734D">
              <w:t>es of main interest:</w:t>
            </w:r>
            <w:r w:rsidRPr="006B6390">
              <w:t xml:space="preserve"> the availability of water, the future management of water resources, abstraction licenses and trading, and potential mechanisms for improving the efficient allocation of water resources.</w:t>
            </w:r>
          </w:p>
          <w:p w:rsidR="00BF437A" w:rsidRPr="006B6390" w:rsidRDefault="00BF437A" w:rsidP="006A734D">
            <w:pPr>
              <w:pStyle w:val="Nessunaspaziatura"/>
              <w:jc w:val="left"/>
              <w:cnfStyle w:val="000000000000"/>
            </w:pPr>
            <w:r w:rsidRPr="006B6390">
              <w:t>It contains within it a series of proposals which could be implemented relatively easily and without recourse to legislative change. The paper is intended to provide a clear view of the industry position, and as a basis for further discussion.</w:t>
            </w:r>
          </w:p>
        </w:tc>
      </w:tr>
    </w:tbl>
    <w:p w:rsidR="00C42496" w:rsidRDefault="00C42496" w:rsidP="006B6390">
      <w:pPr>
        <w:pStyle w:val="Titolo2"/>
      </w:pPr>
    </w:p>
    <w:p w:rsidR="00C42496" w:rsidRDefault="00C42496" w:rsidP="006B6390">
      <w:pPr>
        <w:pStyle w:val="Titolo2"/>
      </w:pPr>
    </w:p>
    <w:p w:rsidR="00C42496" w:rsidRDefault="00C42496" w:rsidP="006B6390">
      <w:pPr>
        <w:pStyle w:val="Titolo2"/>
      </w:pPr>
    </w:p>
    <w:p w:rsidR="00C21595" w:rsidRPr="006B6390" w:rsidRDefault="00C21595" w:rsidP="006B6390">
      <w:pPr>
        <w:pStyle w:val="Titolo2"/>
      </w:pPr>
      <w:r w:rsidRPr="006B6390">
        <w:t>Bioenergy Strategy</w:t>
      </w:r>
    </w:p>
    <w:tbl>
      <w:tblPr>
        <w:tblStyle w:val="Elencochiaro-Colore2"/>
        <w:tblW w:w="14142" w:type="dxa"/>
        <w:tblLook w:val="04A0"/>
      </w:tblPr>
      <w:tblGrid>
        <w:gridCol w:w="2376"/>
        <w:gridCol w:w="11766"/>
      </w:tblGrid>
      <w:tr w:rsidR="00C21595" w:rsidRPr="006B6390" w:rsidTr="006A734D">
        <w:trPr>
          <w:cnfStyle w:val="100000000000"/>
          <w:cantSplit/>
          <w:trHeight w:val="382"/>
        </w:trPr>
        <w:tc>
          <w:tcPr>
            <w:cnfStyle w:val="001000000000"/>
            <w:tcW w:w="2376" w:type="dxa"/>
          </w:tcPr>
          <w:p w:rsidR="00C21595" w:rsidRPr="006B6390" w:rsidRDefault="00C21595" w:rsidP="006A734D">
            <w:pPr>
              <w:pStyle w:val="Nessunaspaziatura"/>
              <w:jc w:val="left"/>
              <w:rPr>
                <w:b w:val="0"/>
              </w:rPr>
            </w:pPr>
            <w:r w:rsidRPr="006B6390">
              <w:t>Policy</w:t>
            </w:r>
          </w:p>
        </w:tc>
        <w:tc>
          <w:tcPr>
            <w:tcW w:w="11766" w:type="dxa"/>
          </w:tcPr>
          <w:p w:rsidR="00C21595" w:rsidRPr="006B6390" w:rsidRDefault="00C21595" w:rsidP="006A734D">
            <w:pPr>
              <w:pStyle w:val="Nessunaspaziatura"/>
              <w:jc w:val="left"/>
              <w:cnfStyle w:val="100000000000"/>
              <w:rPr>
                <w:b w:val="0"/>
              </w:rPr>
            </w:pPr>
            <w:r w:rsidRPr="006B6390">
              <w:t>Key Measures/Aims</w:t>
            </w:r>
          </w:p>
        </w:tc>
      </w:tr>
      <w:tr w:rsidR="00C21595" w:rsidRPr="006B6390" w:rsidTr="006A734D">
        <w:trPr>
          <w:cnfStyle w:val="000000100000"/>
          <w:cantSplit/>
        </w:trPr>
        <w:tc>
          <w:tcPr>
            <w:cnfStyle w:val="001000000000"/>
            <w:tcW w:w="2376" w:type="dxa"/>
          </w:tcPr>
          <w:p w:rsidR="00C21595" w:rsidRPr="006B6390" w:rsidRDefault="00C21595" w:rsidP="006A734D">
            <w:pPr>
              <w:pStyle w:val="Nessunaspaziatura"/>
              <w:jc w:val="left"/>
            </w:pPr>
            <w:r w:rsidRPr="006B6390">
              <w:t>Biomass Strategy 2007</w:t>
            </w:r>
            <w:r w:rsidRPr="006B6390">
              <w:rPr>
                <w:vertAlign w:val="superscript"/>
              </w:rPr>
              <w:footnoteReference w:id="11"/>
            </w:r>
          </w:p>
          <w:p w:rsidR="00C21595" w:rsidRPr="006B6390" w:rsidRDefault="00C21595" w:rsidP="006A734D">
            <w:pPr>
              <w:pStyle w:val="Nessunaspaziatura"/>
              <w:jc w:val="left"/>
            </w:pPr>
          </w:p>
        </w:tc>
        <w:tc>
          <w:tcPr>
            <w:tcW w:w="11766" w:type="dxa"/>
          </w:tcPr>
          <w:p w:rsidR="00BF5D46" w:rsidRDefault="00BF5D46" w:rsidP="00BF5D46">
            <w:pPr>
              <w:pStyle w:val="Nessunaspaziatura"/>
              <w:jc w:val="left"/>
              <w:cnfStyle w:val="000000100000"/>
            </w:pPr>
            <w:r w:rsidRPr="006B6390">
              <w:t xml:space="preserve">The strategy outlines how some 8.3Mtoe </w:t>
            </w:r>
            <w:r>
              <w:t xml:space="preserve">energy </w:t>
            </w:r>
            <w:r w:rsidRPr="006B6390">
              <w:t>could be produced from biomass, through improving technology innovation, developing supply chains, prioritize and incentivize use of biomass for energy in electricity, heat, and transport fuels sectors.</w:t>
            </w:r>
          </w:p>
          <w:p w:rsidR="00C21595" w:rsidRPr="006B6390" w:rsidRDefault="00C21595" w:rsidP="00BF5D46">
            <w:pPr>
              <w:pStyle w:val="Nessunaspaziatura"/>
              <w:jc w:val="left"/>
              <w:cnfStyle w:val="000000100000"/>
            </w:pPr>
            <w:r w:rsidRPr="006B6390">
              <w:t>It includes</w:t>
            </w:r>
            <w:r w:rsidR="00BF5D46">
              <w:t>:</w:t>
            </w:r>
            <w:r w:rsidR="00394A53" w:rsidRPr="006B6390">
              <w:t xml:space="preserve">1) </w:t>
            </w:r>
            <w:r w:rsidRPr="006B6390">
              <w:t>targets of 1 M dry tonnes of biomass from underused woodland</w:t>
            </w:r>
            <w:r w:rsidR="00BF5D46">
              <w:t>;</w:t>
            </w:r>
            <w:r w:rsidR="00394A53" w:rsidRPr="006B6390">
              <w:t xml:space="preserve">2) </w:t>
            </w:r>
            <w:r w:rsidRPr="006B6390">
              <w:t xml:space="preserve">suggesting </w:t>
            </w:r>
            <w:r w:rsidR="00C04B23" w:rsidRPr="006B6390">
              <w:t xml:space="preserve">an additional </w:t>
            </w:r>
            <w:r w:rsidRPr="006B6390">
              <w:t xml:space="preserve">350,000 ha of land could be used </w:t>
            </w:r>
            <w:r w:rsidR="00BF5D46">
              <w:t>to produce energy crops by 2020;</w:t>
            </w:r>
            <w:r w:rsidRPr="006B6390">
              <w:t xml:space="preserve"> and </w:t>
            </w:r>
            <w:r w:rsidR="00394A53" w:rsidRPr="006B6390">
              <w:t xml:space="preserve">3) </w:t>
            </w:r>
            <w:r w:rsidRPr="006B6390">
              <w:t xml:space="preserve">expanding the range of biomass sources used for energy production to include residues </w:t>
            </w:r>
            <w:r w:rsidR="00850B9B" w:rsidRPr="006B6390">
              <w:t xml:space="preserve">and wastes, </w:t>
            </w:r>
            <w:r w:rsidRPr="006B6390">
              <w:t>and solid recovered fuel</w:t>
            </w:r>
            <w:r w:rsidR="00850B9B" w:rsidRPr="006B6390">
              <w:t>s</w:t>
            </w:r>
            <w:r w:rsidRPr="006B6390">
              <w:t xml:space="preserve">. </w:t>
            </w:r>
          </w:p>
        </w:tc>
      </w:tr>
      <w:tr w:rsidR="00C21595" w:rsidRPr="006B6390" w:rsidTr="006A734D">
        <w:trPr>
          <w:cantSplit/>
        </w:trPr>
        <w:tc>
          <w:tcPr>
            <w:cnfStyle w:val="001000000000"/>
            <w:tcW w:w="2376" w:type="dxa"/>
          </w:tcPr>
          <w:p w:rsidR="00C21595" w:rsidRPr="006B6390" w:rsidRDefault="00C21595" w:rsidP="006A734D">
            <w:pPr>
              <w:pStyle w:val="Nessunaspaziatura"/>
              <w:jc w:val="left"/>
            </w:pPr>
            <w:r w:rsidRPr="006B6390">
              <w:t xml:space="preserve">Anaerobic Digestion </w:t>
            </w:r>
            <w:r w:rsidR="00C478CB" w:rsidRPr="006B6390">
              <w:t>Strategy &amp;</w:t>
            </w:r>
            <w:r w:rsidR="00850B9B" w:rsidRPr="006B6390">
              <w:t xml:space="preserve">Action </w:t>
            </w:r>
            <w:r w:rsidRPr="006B6390">
              <w:t>Plan 2011</w:t>
            </w:r>
            <w:r w:rsidRPr="006B6390">
              <w:rPr>
                <w:vertAlign w:val="superscript"/>
              </w:rPr>
              <w:footnoteReference w:id="12"/>
            </w:r>
          </w:p>
          <w:p w:rsidR="00C21595" w:rsidRPr="006B6390" w:rsidRDefault="00C21595" w:rsidP="006A734D">
            <w:pPr>
              <w:pStyle w:val="Nessunaspaziatura"/>
              <w:jc w:val="left"/>
              <w:rPr>
                <w:color w:val="0000FF" w:themeColor="hyperlink"/>
                <w:u w:val="single"/>
              </w:rPr>
            </w:pPr>
          </w:p>
        </w:tc>
        <w:tc>
          <w:tcPr>
            <w:tcW w:w="11766" w:type="dxa"/>
          </w:tcPr>
          <w:p w:rsidR="00C21595" w:rsidRPr="006B6390" w:rsidRDefault="001569F9" w:rsidP="006A734D">
            <w:pPr>
              <w:pStyle w:val="Nessunaspaziatura"/>
              <w:jc w:val="left"/>
              <w:cnfStyle w:val="000000000000"/>
              <w:rPr>
                <w:rFonts w:cs="Frutiger-Light"/>
                <w:color w:val="414142"/>
              </w:rPr>
            </w:pPr>
            <w:r w:rsidRPr="006B6390">
              <w:t>P</w:t>
            </w:r>
            <w:r w:rsidR="00C478CB" w:rsidRPr="006B6390">
              <w:t>resents the vision of valorising</w:t>
            </w:r>
            <w:r w:rsidRPr="006B6390">
              <w:t xml:space="preserve"> waste through AD, i</w:t>
            </w:r>
            <w:r w:rsidR="00C21595" w:rsidRPr="006B6390">
              <w:t>dentifies the barriers to implementation of AD projects, and proposes routes to overcome these obstacles</w:t>
            </w:r>
            <w:r w:rsidRPr="006B6390">
              <w:t>, including dissemination and training, building new markets for by products and energy crops, and mapping economic incentives for investors</w:t>
            </w:r>
            <w:r w:rsidR="00C21595" w:rsidRPr="006B6390">
              <w:t>. It is estimated that AD deployment for heat and electricity could rea</w:t>
            </w:r>
            <w:r w:rsidR="003F21FE">
              <w:t>ch between 3 and 5 TWh by 2020.</w:t>
            </w:r>
            <w:r w:rsidR="00C21595" w:rsidRPr="006B6390">
              <w:t xml:space="preserve"> A fund of £10m over 4 years was announced to stimulate investment in additional AD capacity.</w:t>
            </w:r>
          </w:p>
        </w:tc>
      </w:tr>
      <w:tr w:rsidR="008633CC" w:rsidRPr="006B6390" w:rsidTr="006A734D">
        <w:trPr>
          <w:cnfStyle w:val="000000100000"/>
          <w:cantSplit/>
        </w:trPr>
        <w:tc>
          <w:tcPr>
            <w:cnfStyle w:val="001000000000"/>
            <w:tcW w:w="2376" w:type="dxa"/>
          </w:tcPr>
          <w:p w:rsidR="008633CC" w:rsidRPr="006B6390" w:rsidRDefault="008633CC" w:rsidP="006A734D">
            <w:pPr>
              <w:pStyle w:val="Nessunaspaziatura"/>
              <w:jc w:val="left"/>
            </w:pPr>
            <w:r w:rsidRPr="006B6390">
              <w:lastRenderedPageBreak/>
              <w:t>Bioenergy Action Plan for Wales</w:t>
            </w:r>
            <w:r w:rsidR="004B6CE2" w:rsidRPr="006B6390">
              <w:rPr>
                <w:rStyle w:val="Rimandonotaapidipagina"/>
              </w:rPr>
              <w:footnoteReference w:id="13"/>
            </w:r>
          </w:p>
        </w:tc>
        <w:tc>
          <w:tcPr>
            <w:tcW w:w="11766" w:type="dxa"/>
          </w:tcPr>
          <w:p w:rsidR="008633CC" w:rsidRPr="006B6390" w:rsidRDefault="00AF220E" w:rsidP="00E74F97">
            <w:pPr>
              <w:pStyle w:val="Nessunaspaziatura"/>
              <w:jc w:val="left"/>
              <w:cnfStyle w:val="000000100000"/>
            </w:pPr>
            <w:r w:rsidRPr="006B6390">
              <w:t>Outlines the main obstacles and presents plans for regional incorporation of bioenergy in Wales</w:t>
            </w:r>
            <w:r w:rsidR="00E74F97">
              <w:t>. Main concerns addressed are: C</w:t>
            </w:r>
            <w:r w:rsidRPr="006B6390">
              <w:t xml:space="preserve">HP of </w:t>
            </w:r>
            <w:r w:rsidR="0063679D" w:rsidRPr="006B6390">
              <w:t>biomass</w:t>
            </w:r>
            <w:r w:rsidRPr="006B6390">
              <w:t xml:space="preserve"> resources, environmental sustainability</w:t>
            </w:r>
            <w:r w:rsidR="0063679D" w:rsidRPr="006B6390">
              <w:t xml:space="preserve"> of imported biomass</w:t>
            </w:r>
            <w:r w:rsidRPr="006B6390">
              <w:t>, air quality, biomass demand response, AD</w:t>
            </w:r>
            <w:r w:rsidR="0063679D" w:rsidRPr="006B6390">
              <w:t xml:space="preserve"> and injection of gas to gas-grid</w:t>
            </w:r>
            <w:r w:rsidRPr="006B6390">
              <w:t xml:space="preserve">, development of biomass supply chains, </w:t>
            </w:r>
            <w:r w:rsidR="0063679D" w:rsidRPr="006B6390">
              <w:t>planting forests and wood land management, regional development, identifying other uses of biomass (biofuels).</w:t>
            </w:r>
          </w:p>
        </w:tc>
      </w:tr>
      <w:tr w:rsidR="00C21595" w:rsidRPr="006B6390" w:rsidTr="006A734D">
        <w:trPr>
          <w:cantSplit/>
        </w:trPr>
        <w:tc>
          <w:tcPr>
            <w:cnfStyle w:val="001000000000"/>
            <w:tcW w:w="2376" w:type="dxa"/>
          </w:tcPr>
          <w:p w:rsidR="00C21595" w:rsidRPr="006B6390" w:rsidRDefault="00C21595" w:rsidP="006A734D">
            <w:pPr>
              <w:pStyle w:val="Nessunaspaziatura"/>
              <w:jc w:val="left"/>
              <w:rPr>
                <w:color w:val="0000FF" w:themeColor="hyperlink"/>
                <w:u w:val="single"/>
              </w:rPr>
            </w:pPr>
            <w:r w:rsidRPr="006B6390">
              <w:t>Bioenergy Strategy (2012)</w:t>
            </w:r>
            <w:r w:rsidRPr="006B6390">
              <w:rPr>
                <w:vertAlign w:val="superscript"/>
              </w:rPr>
              <w:footnoteReference w:id="14"/>
            </w:r>
          </w:p>
          <w:p w:rsidR="00C21595" w:rsidRPr="006B6390" w:rsidRDefault="00C21595" w:rsidP="006A734D">
            <w:pPr>
              <w:pStyle w:val="Nessunaspaziatura"/>
              <w:jc w:val="left"/>
            </w:pPr>
          </w:p>
        </w:tc>
        <w:tc>
          <w:tcPr>
            <w:tcW w:w="11766" w:type="dxa"/>
          </w:tcPr>
          <w:p w:rsidR="00C21595" w:rsidRPr="006B6390" w:rsidRDefault="00C21595" w:rsidP="006A734D">
            <w:pPr>
              <w:pStyle w:val="Nessunaspaziatura"/>
              <w:jc w:val="left"/>
              <w:cnfStyle w:val="000000000000"/>
            </w:pPr>
            <w:r w:rsidRPr="006B6390">
              <w:t>Outlines a strategic framework for use of bioenergy</w:t>
            </w:r>
            <w:r w:rsidR="006B198E" w:rsidRPr="006B6390">
              <w:t xml:space="preserve"> from biomass and wastesfor </w:t>
            </w:r>
            <w:r w:rsidRPr="006B6390">
              <w:t>heat, electricity and transport</w:t>
            </w:r>
            <w:r w:rsidR="006B198E" w:rsidRPr="006B6390">
              <w:t xml:space="preserve">. The target is </w:t>
            </w:r>
            <w:r w:rsidRPr="006B6390">
              <w:t>to achieve the cost effective delivery of our 2020 goals</w:t>
            </w:r>
            <w:r w:rsidR="006B198E" w:rsidRPr="006B6390">
              <w:t>,</w:t>
            </w:r>
            <w:r w:rsidRPr="006B6390">
              <w:t xml:space="preserve"> in a way that is consistent with other objectives across the economy and longer term carbon reduction ambitions to 2050. </w:t>
            </w:r>
          </w:p>
        </w:tc>
      </w:tr>
      <w:tr w:rsidR="0063679D" w:rsidRPr="006B6390" w:rsidTr="006A734D">
        <w:trPr>
          <w:cnfStyle w:val="000000100000"/>
          <w:cantSplit/>
        </w:trPr>
        <w:tc>
          <w:tcPr>
            <w:cnfStyle w:val="001000000000"/>
            <w:tcW w:w="2376" w:type="dxa"/>
          </w:tcPr>
          <w:p w:rsidR="0063679D" w:rsidRPr="006B6390" w:rsidRDefault="006B198E" w:rsidP="006A734D">
            <w:pPr>
              <w:pStyle w:val="Nessunaspaziatura"/>
              <w:jc w:val="left"/>
            </w:pPr>
            <w:r w:rsidRPr="006B6390">
              <w:t>The Future of Heating:A strategic framework for low carbon heat in the UK (2012</w:t>
            </w:r>
            <w:r w:rsidR="0063679D" w:rsidRPr="006B6390">
              <w:t>)</w:t>
            </w:r>
            <w:r w:rsidR="0063679D" w:rsidRPr="006B6390">
              <w:rPr>
                <w:vertAlign w:val="superscript"/>
              </w:rPr>
              <w:footnoteReference w:id="15"/>
            </w:r>
          </w:p>
          <w:p w:rsidR="0063679D" w:rsidRPr="006B6390" w:rsidRDefault="0063679D" w:rsidP="006A734D">
            <w:pPr>
              <w:pStyle w:val="Nessunaspaziatura"/>
              <w:jc w:val="left"/>
            </w:pPr>
          </w:p>
        </w:tc>
        <w:tc>
          <w:tcPr>
            <w:tcW w:w="11766" w:type="dxa"/>
          </w:tcPr>
          <w:p w:rsidR="004A345A" w:rsidRPr="006B6390" w:rsidRDefault="001E1960" w:rsidP="00DD6557">
            <w:pPr>
              <w:pStyle w:val="Nessunaspaziatura"/>
              <w:jc w:val="left"/>
              <w:cnfStyle w:val="000000100000"/>
            </w:pPr>
            <w:r w:rsidRPr="006B6390">
              <w:t>O</w:t>
            </w:r>
            <w:r w:rsidR="0063679D" w:rsidRPr="006B6390">
              <w:t xml:space="preserve">utlines </w:t>
            </w:r>
            <w:r w:rsidR="00DD6557">
              <w:t xml:space="preserve">1) </w:t>
            </w:r>
            <w:r w:rsidR="0063679D" w:rsidRPr="006B6390">
              <w:t>how the UK uses heat</w:t>
            </w:r>
            <w:r w:rsidR="00DD6557">
              <w:t xml:space="preserve">;2) </w:t>
            </w:r>
            <w:r w:rsidR="00E74F97">
              <w:t xml:space="preserve">the </w:t>
            </w:r>
            <w:r w:rsidR="0063679D" w:rsidRPr="006B6390">
              <w:t xml:space="preserve">potential ways in which heat demand can be met </w:t>
            </w:r>
            <w:r w:rsidR="00DD6557">
              <w:t>in the future, 3) the</w:t>
            </w:r>
            <w:r w:rsidR="0063679D" w:rsidRPr="006B6390">
              <w:t xml:space="preserve"> possibilities for reducing energy demand in buildi</w:t>
            </w:r>
            <w:r w:rsidR="00DD6557">
              <w:t xml:space="preserve">ngs </w:t>
            </w:r>
            <w:r w:rsidR="0063679D" w:rsidRPr="006B6390">
              <w:t xml:space="preserve">through the decarbonisation of heating and cooling of buildings, including switching to low carbon energy generation and the deployment of CCS. </w:t>
            </w:r>
          </w:p>
          <w:p w:rsidR="00E01A74" w:rsidRPr="006B6390" w:rsidRDefault="0063679D" w:rsidP="006A734D">
            <w:pPr>
              <w:pStyle w:val="Nessunaspaziatura"/>
              <w:jc w:val="left"/>
              <w:cnfStyle w:val="000000100000"/>
            </w:pPr>
            <w:r w:rsidRPr="006B6390">
              <w:t>Measures are proposed to improve</w:t>
            </w:r>
            <w:r w:rsidR="00035335" w:rsidRPr="006B6390">
              <w:t xml:space="preserve"> building level heating systems</w:t>
            </w:r>
            <w:r w:rsidRPr="006B6390">
              <w:t xml:space="preserve"> promoting the development of </w:t>
            </w:r>
            <w:r w:rsidR="00FC2D35" w:rsidRPr="006B6390">
              <w:t xml:space="preserve">heat pump </w:t>
            </w:r>
            <w:r w:rsidR="00035335" w:rsidRPr="006B6390">
              <w:t xml:space="preserve">and solar panel </w:t>
            </w:r>
            <w:r w:rsidR="00FC2D35" w:rsidRPr="006B6390">
              <w:t xml:space="preserve">technologies, </w:t>
            </w:r>
            <w:r w:rsidRPr="006B6390">
              <w:t>, and developing heat networks</w:t>
            </w:r>
            <w:r w:rsidR="00035335" w:rsidRPr="006B6390">
              <w:t xml:space="preserve"> through CHP</w:t>
            </w:r>
            <w:r w:rsidRPr="006B6390">
              <w:t>, linked to low carbon heat sources</w:t>
            </w:r>
            <w:r w:rsidR="00035335" w:rsidRPr="006B6390">
              <w:t>, invest in biomass, biogas, and CCS for heating industry.</w:t>
            </w:r>
          </w:p>
          <w:p w:rsidR="0063679D" w:rsidRPr="006B6390" w:rsidRDefault="00E01A74" w:rsidP="00DD6557">
            <w:pPr>
              <w:pStyle w:val="Nessunaspaziatura"/>
              <w:jc w:val="left"/>
              <w:cnfStyle w:val="000000100000"/>
            </w:pPr>
            <w:r w:rsidRPr="006B6390">
              <w:t xml:space="preserve">The document makes a series of questions and invites all stakeholders for decarbonizing heat to comment. Comments </w:t>
            </w:r>
            <w:r w:rsidR="00DD6557">
              <w:t>are due to</w:t>
            </w:r>
            <w:r w:rsidRPr="006B6390">
              <w:t xml:space="preserve"> be published in a special DECC report by 2014.</w:t>
            </w:r>
          </w:p>
        </w:tc>
      </w:tr>
    </w:tbl>
    <w:p w:rsidR="00CB1CB2" w:rsidRDefault="00CB1CB2" w:rsidP="00CB1CB2">
      <w:pPr>
        <w:pStyle w:val="Nessunaspaziatura"/>
      </w:pPr>
    </w:p>
    <w:p w:rsidR="00C42496" w:rsidRDefault="00C42496" w:rsidP="006B6390">
      <w:pPr>
        <w:pStyle w:val="Titolo2"/>
      </w:pPr>
    </w:p>
    <w:p w:rsidR="00C21595" w:rsidRPr="006B6390" w:rsidRDefault="00C21595" w:rsidP="006B6390">
      <w:pPr>
        <w:pStyle w:val="Titolo2"/>
      </w:pPr>
      <w:r w:rsidRPr="006B6390">
        <w:t>Power Generation</w:t>
      </w:r>
    </w:p>
    <w:tbl>
      <w:tblPr>
        <w:tblStyle w:val="Elencochiaro-Colore2"/>
        <w:tblW w:w="14142" w:type="dxa"/>
        <w:tblLook w:val="04A0"/>
      </w:tblPr>
      <w:tblGrid>
        <w:gridCol w:w="1668"/>
        <w:gridCol w:w="2693"/>
        <w:gridCol w:w="5953"/>
        <w:gridCol w:w="3828"/>
      </w:tblGrid>
      <w:tr w:rsidR="00C21595" w:rsidRPr="006B6390" w:rsidTr="006A734D">
        <w:trPr>
          <w:cnfStyle w:val="100000000000"/>
          <w:cantSplit/>
        </w:trPr>
        <w:tc>
          <w:tcPr>
            <w:cnfStyle w:val="001000000000"/>
            <w:tcW w:w="1668" w:type="dxa"/>
          </w:tcPr>
          <w:p w:rsidR="00C21595" w:rsidRPr="006B6390" w:rsidRDefault="00C21595" w:rsidP="006A734D">
            <w:pPr>
              <w:pStyle w:val="Nessunaspaziatura"/>
              <w:jc w:val="left"/>
              <w:rPr>
                <w:b w:val="0"/>
              </w:rPr>
            </w:pPr>
            <w:r w:rsidRPr="006B6390">
              <w:t>Policy</w:t>
            </w:r>
          </w:p>
        </w:tc>
        <w:tc>
          <w:tcPr>
            <w:tcW w:w="2693" w:type="dxa"/>
          </w:tcPr>
          <w:p w:rsidR="00C21595" w:rsidRPr="006B6390" w:rsidRDefault="00C21595" w:rsidP="006A734D">
            <w:pPr>
              <w:pStyle w:val="Nessunaspaziatura"/>
              <w:jc w:val="left"/>
              <w:cnfStyle w:val="100000000000"/>
              <w:rPr>
                <w:b w:val="0"/>
              </w:rPr>
            </w:pPr>
            <w:r w:rsidRPr="006B6390">
              <w:t>Ambitions</w:t>
            </w:r>
          </w:p>
        </w:tc>
        <w:tc>
          <w:tcPr>
            <w:tcW w:w="5953" w:type="dxa"/>
          </w:tcPr>
          <w:p w:rsidR="00C21595" w:rsidRPr="006B6390" w:rsidRDefault="00C21595" w:rsidP="006A734D">
            <w:pPr>
              <w:pStyle w:val="Nessunaspaziatura"/>
              <w:jc w:val="left"/>
              <w:cnfStyle w:val="100000000000"/>
              <w:rPr>
                <w:b w:val="0"/>
              </w:rPr>
            </w:pPr>
            <w:r w:rsidRPr="006B6390">
              <w:t>Policy Measures</w:t>
            </w:r>
          </w:p>
        </w:tc>
        <w:tc>
          <w:tcPr>
            <w:tcW w:w="3828" w:type="dxa"/>
          </w:tcPr>
          <w:p w:rsidR="00C21595" w:rsidRPr="006B6390" w:rsidRDefault="00C21595" w:rsidP="006A734D">
            <w:pPr>
              <w:pStyle w:val="Nessunaspaziatura"/>
              <w:jc w:val="left"/>
              <w:cnfStyle w:val="100000000000"/>
              <w:rPr>
                <w:b w:val="0"/>
              </w:rPr>
            </w:pPr>
            <w:r w:rsidRPr="006B6390">
              <w:t>Financial Incentives</w:t>
            </w:r>
          </w:p>
        </w:tc>
      </w:tr>
      <w:tr w:rsidR="00C21595" w:rsidRPr="006B6390" w:rsidTr="006A734D">
        <w:trPr>
          <w:cnfStyle w:val="000000100000"/>
          <w:cantSplit/>
        </w:trPr>
        <w:tc>
          <w:tcPr>
            <w:cnfStyle w:val="001000000000"/>
            <w:tcW w:w="1668" w:type="dxa"/>
          </w:tcPr>
          <w:p w:rsidR="00C21595" w:rsidRPr="006B6390" w:rsidRDefault="00C21595" w:rsidP="006A734D">
            <w:pPr>
              <w:pStyle w:val="Nessunaspaziatura"/>
              <w:jc w:val="left"/>
            </w:pPr>
            <w:r w:rsidRPr="006B6390">
              <w:lastRenderedPageBreak/>
              <w:t>Renewables Obligation (RO)</w:t>
            </w:r>
            <w:r w:rsidRPr="006B6390">
              <w:rPr>
                <w:vertAlign w:val="superscript"/>
              </w:rPr>
              <w:footnoteReference w:id="16"/>
            </w:r>
          </w:p>
        </w:tc>
        <w:tc>
          <w:tcPr>
            <w:tcW w:w="2693" w:type="dxa"/>
          </w:tcPr>
          <w:p w:rsidR="00C21595" w:rsidRPr="006B6390" w:rsidRDefault="00C21595" w:rsidP="006A734D">
            <w:pPr>
              <w:pStyle w:val="Nessunaspaziatura"/>
              <w:jc w:val="left"/>
              <w:cnfStyle w:val="000000100000"/>
            </w:pPr>
            <w:r w:rsidRPr="006B6390">
              <w:t xml:space="preserve">The RO requires licenced electricity suppliers to source an increased amount of their electricity sales from renewable sources or pay a penalty. </w:t>
            </w:r>
          </w:p>
          <w:p w:rsidR="00C21595" w:rsidRPr="006B6390" w:rsidRDefault="00C21595" w:rsidP="006A734D">
            <w:pPr>
              <w:pStyle w:val="Nessunaspaziatura"/>
              <w:jc w:val="left"/>
              <w:cnfStyle w:val="000000100000"/>
            </w:pPr>
          </w:p>
          <w:p w:rsidR="00C21595" w:rsidRPr="006B6390" w:rsidRDefault="00C21595" w:rsidP="006A734D">
            <w:pPr>
              <w:pStyle w:val="Nessunaspaziatura"/>
              <w:jc w:val="left"/>
              <w:cnfStyle w:val="000000100000"/>
            </w:pPr>
          </w:p>
        </w:tc>
        <w:tc>
          <w:tcPr>
            <w:tcW w:w="5953" w:type="dxa"/>
          </w:tcPr>
          <w:p w:rsidR="00A5026C" w:rsidRDefault="00C21595" w:rsidP="006A734D">
            <w:pPr>
              <w:pStyle w:val="Nessunaspaziatura"/>
              <w:jc w:val="left"/>
              <w:cnfStyle w:val="000000100000"/>
            </w:pPr>
            <w:r w:rsidRPr="006B6390">
              <w:t>Renewable Energy Generators are issued with Renewable Obligation Certificates (ROCs) based on their renewable energy output. The focus is on scales greater than 5MWe, but insta</w:t>
            </w:r>
            <w:r w:rsidR="00A5026C">
              <w:t xml:space="preserve">llations &gt;45 KWe are eligible. </w:t>
            </w:r>
            <w:r w:rsidRPr="006B6390">
              <w:t>Renewable targets are 12.4% from 2012/13, rising by 1% per year t</w:t>
            </w:r>
            <w:r w:rsidR="00A5026C">
              <w:t>o 2015/16. Scheme runs to 2037.</w:t>
            </w:r>
          </w:p>
          <w:p w:rsidR="00C21595" w:rsidRPr="006B6390" w:rsidRDefault="00C21595" w:rsidP="00D060B7">
            <w:pPr>
              <w:pStyle w:val="Nessunaspaziatura"/>
              <w:jc w:val="left"/>
              <w:cnfStyle w:val="000000100000"/>
            </w:pPr>
            <w:r w:rsidRPr="006B6390">
              <w:t xml:space="preserve">If a generator produces more electricity than it needs, it can trade ROCs which have a monetary value. If there are not enough certificates from a supplier, they must buy ROCs or pay into a buyout fund. A review of ROC scheme is currently underway. It is planned that mandatory sustainability reporting </w:t>
            </w:r>
            <w:r w:rsidR="00A5026C">
              <w:t>is</w:t>
            </w:r>
            <w:r w:rsidRPr="006B6390">
              <w:t xml:space="preserve"> in</w:t>
            </w:r>
            <w:r w:rsidR="00A5026C">
              <w:t xml:space="preserve">troduced since </w:t>
            </w:r>
            <w:r w:rsidRPr="006B6390">
              <w:t>2013, and that sustainability criteria will need to be met in order to obtain ROCs. Sustainability criteria will be upon Renewable Energy Directive criteria. For bioliquids used for energy generation, sustainability criteria are as for the RT</w:t>
            </w:r>
            <w:r w:rsidR="00A5026C">
              <w:t xml:space="preserve">FO. </w:t>
            </w:r>
            <w:r w:rsidRPr="006B6390">
              <w:t>The RO will close to new entrants in March 2017, by which time the E</w:t>
            </w:r>
            <w:r w:rsidR="00D060B7">
              <w:t>lectricity Market Reform (EMR)</w:t>
            </w:r>
            <w:r w:rsidRPr="006B6390">
              <w:t xml:space="preserve"> will have taken over. </w:t>
            </w:r>
          </w:p>
        </w:tc>
        <w:tc>
          <w:tcPr>
            <w:tcW w:w="3828" w:type="dxa"/>
          </w:tcPr>
          <w:p w:rsidR="00C21595" w:rsidRPr="006B6390" w:rsidRDefault="00C21595" w:rsidP="006A734D">
            <w:pPr>
              <w:pStyle w:val="Nessunaspaziatura"/>
              <w:jc w:val="left"/>
              <w:cnfStyle w:val="000000100000"/>
            </w:pPr>
            <w:r w:rsidRPr="006B6390">
              <w:t xml:space="preserve">The amount of electricity which needs to be generated varies by technology with </w:t>
            </w:r>
            <w:r w:rsidR="00C56844">
              <w:t>more</w:t>
            </w:r>
            <w:r w:rsidRPr="006B6390">
              <w:t xml:space="preserve"> developed technologies eligible for more ROCs than</w:t>
            </w:r>
            <w:r w:rsidR="00C56844">
              <w:t xml:space="preserve"> more</w:t>
            </w:r>
            <w:r w:rsidRPr="006B6390">
              <w:t xml:space="preserve"> developed technologies. </w:t>
            </w:r>
          </w:p>
          <w:p w:rsidR="00C21595" w:rsidRPr="006B6390" w:rsidRDefault="00D353BC" w:rsidP="00D242E8">
            <w:pPr>
              <w:pStyle w:val="Nessunaspaziatura"/>
              <w:jc w:val="left"/>
              <w:cnfStyle w:val="000000100000"/>
            </w:pPr>
            <w:r w:rsidRPr="006B6390">
              <w:t xml:space="preserve">For 2013/14 obligation is </w:t>
            </w:r>
            <w:r w:rsidR="00D242E8">
              <w:t>0.206 ROCs per MWh, and for 201</w:t>
            </w:r>
            <w:r w:rsidRPr="006B6390">
              <w:t>5</w:t>
            </w:r>
            <w:r w:rsidR="00D242E8">
              <w:t>/2016</w:t>
            </w:r>
            <w:r w:rsidRPr="006B6390">
              <w:t xml:space="preserve"> will be 0.2</w:t>
            </w:r>
            <w:r w:rsidR="00D242E8">
              <w:t>90</w:t>
            </w:r>
            <w:r w:rsidRPr="006B6390">
              <w:t>. Price per ROC for 2013 was £42.02.</w:t>
            </w:r>
          </w:p>
        </w:tc>
      </w:tr>
      <w:tr w:rsidR="00C21595" w:rsidRPr="006B6390" w:rsidTr="006A734D">
        <w:trPr>
          <w:cantSplit/>
        </w:trPr>
        <w:tc>
          <w:tcPr>
            <w:cnfStyle w:val="001000000000"/>
            <w:tcW w:w="1668" w:type="dxa"/>
          </w:tcPr>
          <w:p w:rsidR="00C21595" w:rsidRPr="006B6390" w:rsidRDefault="00C21595" w:rsidP="006A734D">
            <w:pPr>
              <w:pStyle w:val="Nessunaspaziatura"/>
              <w:jc w:val="left"/>
            </w:pPr>
            <w:r w:rsidRPr="006B6390">
              <w:lastRenderedPageBreak/>
              <w:t>Feed in Tariff(FiT)</w:t>
            </w:r>
            <w:r w:rsidRPr="006B6390">
              <w:rPr>
                <w:vertAlign w:val="superscript"/>
              </w:rPr>
              <w:footnoteReference w:id="17"/>
            </w:r>
            <w:r w:rsidR="003502B3" w:rsidRPr="006B6390">
              <w:t>,</w:t>
            </w:r>
            <w:r w:rsidR="00306650" w:rsidRPr="006B6390">
              <w:rPr>
                <w:vertAlign w:val="superscript"/>
              </w:rPr>
              <w:footnoteReference w:id="18"/>
            </w:r>
          </w:p>
        </w:tc>
        <w:tc>
          <w:tcPr>
            <w:tcW w:w="2693" w:type="dxa"/>
          </w:tcPr>
          <w:p w:rsidR="00C21595" w:rsidRPr="006B6390" w:rsidRDefault="00C21595" w:rsidP="006A734D">
            <w:pPr>
              <w:pStyle w:val="Nessunaspaziatura"/>
              <w:jc w:val="left"/>
              <w:cnfStyle w:val="000000000000"/>
            </w:pPr>
            <w:r w:rsidRPr="006B6390">
              <w:t>FiTs aim to promote the deployment of proven, small scale low carbon electricity generation (up to 5MW) technologies</w:t>
            </w:r>
            <w:r w:rsidR="0011676F" w:rsidRPr="006B6390">
              <w:t xml:space="preserve"> (</w:t>
            </w:r>
            <w:r w:rsidR="0011676F" w:rsidRPr="006B6390">
              <w:rPr>
                <w:rFonts w:eastAsia="Times New Roman" w:cs="Times New Roman"/>
                <w:lang w:eastAsia="en-GB"/>
              </w:rPr>
              <w:t>solar, photovoltaic panels, wind turbines, water turbines, AD, micro combined heat and power)</w:t>
            </w:r>
            <w:r w:rsidR="00FC1A40" w:rsidRPr="006B6390">
              <w:t xml:space="preserve">located in England, Wales, and Scotland, and </w:t>
            </w:r>
            <w:r w:rsidRPr="006B6390">
              <w:t xml:space="preserve">particularly by groups not traditionally involved in the electricity market. </w:t>
            </w:r>
          </w:p>
        </w:tc>
        <w:tc>
          <w:tcPr>
            <w:tcW w:w="5953" w:type="dxa"/>
          </w:tcPr>
          <w:p w:rsidR="00C21595" w:rsidRPr="006B6390" w:rsidRDefault="00C21595" w:rsidP="006A734D">
            <w:pPr>
              <w:pStyle w:val="Nessunaspaziatura"/>
              <w:jc w:val="left"/>
              <w:cnfStyle w:val="000000000000"/>
            </w:pPr>
            <w:r w:rsidRPr="006B6390">
              <w:t xml:space="preserve">Made up of a generation tariff and an export tariff. The generation tariff is guaranteed for between 10-20 years, and the level varies by technology and size of installation. The export tariff is paid where electricity is fed into the National Grid. Suppliers may choose to claim the market value for the electricity in place of the export tariff. AD is the only bio-based technology supported under the FiT scheme. </w:t>
            </w:r>
          </w:p>
        </w:tc>
        <w:tc>
          <w:tcPr>
            <w:tcW w:w="3828" w:type="dxa"/>
          </w:tcPr>
          <w:p w:rsidR="00A30B79" w:rsidRPr="006B6390" w:rsidRDefault="00CE1A1C" w:rsidP="006A734D">
            <w:pPr>
              <w:pStyle w:val="Nessunaspaziatura"/>
              <w:jc w:val="left"/>
              <w:cnfStyle w:val="000000000000"/>
            </w:pPr>
            <w:r w:rsidRPr="006B6390">
              <w:t>Applicants should be AD installations with &lt;5MW capacity.</w:t>
            </w:r>
          </w:p>
          <w:p w:rsidR="00C21595" w:rsidRPr="006B6390" w:rsidRDefault="00CE1A1C" w:rsidP="00C04E61">
            <w:pPr>
              <w:pStyle w:val="Nessunaspaziatura"/>
              <w:jc w:val="left"/>
              <w:cnfStyle w:val="000000000000"/>
            </w:pPr>
            <w:r w:rsidRPr="006B6390">
              <w:t xml:space="preserve">Both export and generation tariff are index linked so will vary based on the previous </w:t>
            </w:r>
            <w:r w:rsidR="00A30B79" w:rsidRPr="006B6390">
              <w:t>year’s</w:t>
            </w:r>
            <w:r w:rsidRPr="006B6390">
              <w:t xml:space="preserve"> retail price index. </w:t>
            </w:r>
            <w:r w:rsidR="00C04E61">
              <w:t xml:space="preserve">Since </w:t>
            </w:r>
            <w:hyperlink r:id="rId12" w:history="1">
              <w:r w:rsidR="00C04E61" w:rsidRPr="00132444">
                <w:rPr>
                  <w:rStyle w:val="Collegamentoipertestuale"/>
                </w:rPr>
                <w:t>April 2014 degression</w:t>
              </w:r>
            </w:hyperlink>
            <w:r w:rsidR="00C04E61">
              <w:t xml:space="preserve">, </w:t>
            </w:r>
            <w:r w:rsidR="00A30B79" w:rsidRPr="006B6390">
              <w:t>t</w:t>
            </w:r>
            <w:r w:rsidRPr="006B6390">
              <w:t xml:space="preserve">he generation tariff for </w:t>
            </w:r>
            <w:r w:rsidR="00A30B79" w:rsidRPr="006B6390">
              <w:rPr>
                <w:rFonts w:cs="Calibri"/>
              </w:rPr>
              <w:t>A</w:t>
            </w:r>
            <w:r w:rsidRPr="006B6390">
              <w:t xml:space="preserve">D </w:t>
            </w:r>
            <w:r w:rsidR="00A30B79" w:rsidRPr="006B6390">
              <w:t>installations</w:t>
            </w:r>
            <w:r w:rsidR="004C04E5" w:rsidRPr="006B6390">
              <w:rPr>
                <w:rFonts w:cs="Calibri"/>
              </w:rPr>
              <w:t xml:space="preserve">: </w:t>
            </w:r>
            <w:r w:rsidR="00C04E61">
              <w:t xml:space="preserve">1) £11.21 </w:t>
            </w:r>
            <w:r w:rsidR="00A30B79" w:rsidRPr="006B6390">
              <w:t>p/kWh for plants &lt;250k</w:t>
            </w:r>
            <w:r w:rsidRPr="006B6390">
              <w:t xml:space="preserve">W, </w:t>
            </w:r>
            <w:r w:rsidR="00C04E61">
              <w:t>2) £10.37</w:t>
            </w:r>
            <w:r w:rsidR="00A30B79" w:rsidRPr="006B6390">
              <w:t xml:space="preserve"> p/kWh for plants between 250kW and 500k</w:t>
            </w:r>
            <w:r w:rsidRPr="006B6390">
              <w:t xml:space="preserve">W and </w:t>
            </w:r>
            <w:r w:rsidR="00A30B79" w:rsidRPr="006B6390">
              <w:t>3)</w:t>
            </w:r>
            <w:r w:rsidR="00C04E61">
              <w:t xml:space="preserve">£9.02 </w:t>
            </w:r>
            <w:r w:rsidR="00A30B79" w:rsidRPr="006B6390">
              <w:t>p/kWh for plants &gt;500k</w:t>
            </w:r>
            <w:r w:rsidRPr="006B6390">
              <w:t xml:space="preserve">W. </w:t>
            </w:r>
            <w:r w:rsidR="00A30B79" w:rsidRPr="006B6390">
              <w:t>In 2013/2014 t</w:t>
            </w:r>
            <w:r w:rsidR="00C21595" w:rsidRPr="006B6390">
              <w:t xml:space="preserve">he export tariff is </w:t>
            </w:r>
            <w:r w:rsidR="00C04E61">
              <w:t xml:space="preserve">£4.77 </w:t>
            </w:r>
            <w:r w:rsidR="00C21595" w:rsidRPr="006B6390">
              <w:t>p/kWh</w:t>
            </w:r>
            <w:r w:rsidR="00A30B79" w:rsidRPr="006B6390">
              <w:t>.</w:t>
            </w:r>
            <w:r w:rsidR="00C04E61">
              <w:t xml:space="preserve"> Prices are expected to change again by April 2015.</w:t>
            </w:r>
          </w:p>
        </w:tc>
      </w:tr>
      <w:tr w:rsidR="00A47053" w:rsidRPr="006B6390" w:rsidTr="006A734D">
        <w:trPr>
          <w:cnfStyle w:val="000000100000"/>
          <w:cantSplit/>
        </w:trPr>
        <w:tc>
          <w:tcPr>
            <w:cnfStyle w:val="001000000000"/>
            <w:tcW w:w="1668" w:type="dxa"/>
          </w:tcPr>
          <w:p w:rsidR="00A47053" w:rsidRPr="006B6390" w:rsidRDefault="00A47053" w:rsidP="006A734D">
            <w:pPr>
              <w:pStyle w:val="Nessunaspaziatura"/>
              <w:jc w:val="left"/>
            </w:pPr>
            <w:r w:rsidRPr="004F1D98">
              <w:lastRenderedPageBreak/>
              <w:t>Electricity Market Reform: Contracts for Difference</w:t>
            </w:r>
            <w:r>
              <w:t xml:space="preserve"> - </w:t>
            </w:r>
            <w:r w:rsidR="001F6D27">
              <w:t>2011</w:t>
            </w:r>
          </w:p>
        </w:tc>
        <w:tc>
          <w:tcPr>
            <w:tcW w:w="2693" w:type="dxa"/>
          </w:tcPr>
          <w:p w:rsidR="001F6D27" w:rsidRPr="006B6390" w:rsidRDefault="00A47053" w:rsidP="003D054B">
            <w:pPr>
              <w:pStyle w:val="Nessunaspaziatura"/>
              <w:jc w:val="left"/>
              <w:cnfStyle w:val="000000100000"/>
            </w:pPr>
            <w:r>
              <w:t>The current support regime of FiT will be gradually replaced by a system of feed-in tariff Contracts for Differences (CfD).</w:t>
            </w:r>
            <w:r w:rsidR="001F6D27">
              <w:t xml:space="preserve"> Changes are due to be implemented as early as 2014 but with a transitional phase until 2017 during which the new support regime will co-exist with the current regime. </w:t>
            </w:r>
            <w:r w:rsidR="003D054B">
              <w:t>CfDs</w:t>
            </w:r>
            <w:r w:rsidR="001F6D27">
              <w:t xml:space="preserve">are intended to shift the electricity market price risk from the generator to the consumer, reducing risk and the cost of capital for investors. </w:t>
            </w:r>
          </w:p>
        </w:tc>
        <w:tc>
          <w:tcPr>
            <w:tcW w:w="5953" w:type="dxa"/>
          </w:tcPr>
          <w:p w:rsidR="00A47053" w:rsidRPr="006B6390" w:rsidRDefault="00A47053" w:rsidP="001F6D27">
            <w:pPr>
              <w:pStyle w:val="Nessunaspaziatura"/>
              <w:jc w:val="left"/>
              <w:cnfStyle w:val="000000100000"/>
            </w:pPr>
          </w:p>
        </w:tc>
        <w:tc>
          <w:tcPr>
            <w:tcW w:w="3828" w:type="dxa"/>
          </w:tcPr>
          <w:p w:rsidR="00A47053" w:rsidRPr="006B6390" w:rsidRDefault="00A47053" w:rsidP="006A734D">
            <w:pPr>
              <w:pStyle w:val="Nessunaspaziatura"/>
              <w:jc w:val="left"/>
              <w:cnfStyle w:val="000000100000"/>
            </w:pPr>
            <w:r>
              <w:t>The CfD is a contract to pay or be paid the difference between a market reference price for electricity and an agreed “strike price”. It is a two-way contract which could lead to the generator receiving payments from or having to make a payment to its counterparty under the CfD.</w:t>
            </w:r>
          </w:p>
        </w:tc>
      </w:tr>
      <w:tr w:rsidR="00A47053" w:rsidRPr="006B6390" w:rsidTr="006A734D">
        <w:trPr>
          <w:cantSplit/>
        </w:trPr>
        <w:tc>
          <w:tcPr>
            <w:cnfStyle w:val="001000000000"/>
            <w:tcW w:w="1668" w:type="dxa"/>
          </w:tcPr>
          <w:p w:rsidR="00A47053" w:rsidRPr="006B6390" w:rsidRDefault="00A47053" w:rsidP="006A734D">
            <w:pPr>
              <w:pStyle w:val="Nessunaspaziatura"/>
              <w:jc w:val="left"/>
            </w:pPr>
            <w:r w:rsidRPr="006B6390">
              <w:lastRenderedPageBreak/>
              <w:t>Renewable Heat Incentive (RHI)</w:t>
            </w:r>
            <w:r w:rsidRPr="006B6390">
              <w:rPr>
                <w:vertAlign w:val="superscript"/>
              </w:rPr>
              <w:footnoteReference w:id="19"/>
            </w:r>
            <w:r w:rsidRPr="006B6390">
              <w:t xml:space="preserve">, </w:t>
            </w:r>
            <w:r w:rsidRPr="006B6390">
              <w:rPr>
                <w:vertAlign w:val="superscript"/>
              </w:rPr>
              <w:footnoteReference w:id="20"/>
            </w:r>
            <w:r w:rsidRPr="006B6390">
              <w:t xml:space="preserve">, </w:t>
            </w:r>
            <w:r w:rsidRPr="006B6390">
              <w:rPr>
                <w:vertAlign w:val="superscript"/>
              </w:rPr>
              <w:footnoteReference w:id="21"/>
            </w:r>
            <w:r w:rsidR="00085524">
              <w:t xml:space="preserve">, </w:t>
            </w:r>
            <w:r w:rsidR="00085524">
              <w:rPr>
                <w:rStyle w:val="Rimandonotaapidipagina"/>
              </w:rPr>
              <w:footnoteReference w:id="22"/>
            </w:r>
          </w:p>
        </w:tc>
        <w:tc>
          <w:tcPr>
            <w:tcW w:w="2693" w:type="dxa"/>
          </w:tcPr>
          <w:p w:rsidR="00A47053" w:rsidRPr="006B6390" w:rsidRDefault="00A47053" w:rsidP="0059082A">
            <w:pPr>
              <w:pStyle w:val="Nessunaspaziatura"/>
              <w:jc w:val="left"/>
              <w:cnfStyle w:val="000000000000"/>
            </w:pPr>
            <w:r w:rsidRPr="006B6390">
              <w:t xml:space="preserve">The RHI aims to incentivise the generation and use of renewable heat from solid and gaseous biomass, on-site biogas and injection to the grid, and energy from waste, at all scales in England, Wales, and Scotland. </w:t>
            </w:r>
          </w:p>
        </w:tc>
        <w:tc>
          <w:tcPr>
            <w:tcW w:w="5953" w:type="dxa"/>
          </w:tcPr>
          <w:p w:rsidR="00A47053" w:rsidRDefault="00A47053" w:rsidP="00C11DA0">
            <w:pPr>
              <w:pStyle w:val="Nessunaspaziatura"/>
              <w:jc w:val="left"/>
              <w:cnfStyle w:val="000000000000"/>
            </w:pPr>
            <w:r w:rsidRPr="006B6390">
              <w:t xml:space="preserve">Tariffs are guaranteed for 20 years, and are paid on a quarterly basis through Ofgem. Tariffs vary </w:t>
            </w:r>
            <w:r w:rsidRPr="005024CB">
              <w:t xml:space="preserve">by technology and scale. RHI is currently dedicated to non-domestic use, although </w:t>
            </w:r>
            <w:hyperlink r:id="rId13" w:history="1">
              <w:r w:rsidRPr="005024CB">
                <w:rPr>
                  <w:rStyle w:val="Collegamentoipertestuale"/>
                </w:rPr>
                <w:t>RHI for domestic use</w:t>
              </w:r>
            </w:hyperlink>
            <w:r w:rsidR="00C11DA0" w:rsidRPr="005024CB">
              <w:t>has opened since</w:t>
            </w:r>
            <w:r w:rsidRPr="005024CB">
              <w:t xml:space="preserve"> Spring 2014. There</w:t>
            </w:r>
            <w:r w:rsidRPr="006B6390">
              <w:t xml:space="preserve"> are plans to incorporate sustainability reporting into the RHI. Sustainability reporting will vary by scale. For plants above 1 MWh capacity, biomass sustainability requirements are to be fulfilled quarterly </w:t>
            </w:r>
            <w:r w:rsidR="00C11DA0">
              <w:t xml:space="preserve">per </w:t>
            </w:r>
            <w:r w:rsidRPr="006B6390">
              <w:t xml:space="preserve">year. For plants below 1 MWh capacity, compliance with sustainability criteria will be based on a recommended feedstock suppliers list who have had the sustainability of their feedstocks audited. </w:t>
            </w:r>
          </w:p>
          <w:p w:rsidR="006F0793" w:rsidRDefault="006F0793" w:rsidP="006F0793">
            <w:pPr>
              <w:pStyle w:val="Nessunaspaziatura"/>
              <w:jc w:val="left"/>
              <w:cnfStyle w:val="000000000000"/>
            </w:pPr>
            <w:r>
              <w:t>Solid biomass must be wood, straw, agro</w:t>
            </w:r>
            <w:r w:rsidR="004E5539">
              <w:t>-</w:t>
            </w:r>
            <w:r>
              <w:t>industrial residues, food or other wastes, or sewage sludge.</w:t>
            </w:r>
          </w:p>
          <w:p w:rsidR="003D42C9" w:rsidRPr="006B6390" w:rsidRDefault="003D42C9" w:rsidP="008907E5">
            <w:pPr>
              <w:pStyle w:val="Nessunaspaziatura"/>
              <w:jc w:val="left"/>
              <w:cnfStyle w:val="000000000000"/>
            </w:pPr>
            <w:r>
              <w:t>Biogas must be produced from AD, gasification, or pyrolysis of biomass</w:t>
            </w:r>
            <w:r w:rsidR="008907E5">
              <w:t xml:space="preserve"> (no landfill)</w:t>
            </w:r>
            <w:r>
              <w:t xml:space="preserve">. In this case biomass is defined as </w:t>
            </w:r>
            <w:r w:rsidRPr="003D42C9">
              <w:t xml:space="preserve">plant matter, animal matter, fungi or </w:t>
            </w:r>
            <w:r w:rsidRPr="003D42C9">
              <w:rPr>
                <w:b/>
              </w:rPr>
              <w:t>algae</w:t>
            </w:r>
            <w:r w:rsidR="008907E5">
              <w:t xml:space="preserve"> (but not peat).</w:t>
            </w:r>
          </w:p>
        </w:tc>
        <w:tc>
          <w:tcPr>
            <w:tcW w:w="3828" w:type="dxa"/>
          </w:tcPr>
          <w:p w:rsidR="00A47053" w:rsidRPr="005024CB" w:rsidRDefault="00A47053" w:rsidP="006A734D">
            <w:pPr>
              <w:pStyle w:val="Nessunaspaziatura"/>
              <w:jc w:val="left"/>
              <w:cnfStyle w:val="000000000000"/>
            </w:pPr>
            <w:r w:rsidRPr="006B6390">
              <w:t xml:space="preserve">Ofgem are responsible for publishing quarterly </w:t>
            </w:r>
            <w:hyperlink r:id="rId14" w:history="1">
              <w:r w:rsidRPr="006B6390">
                <w:rPr>
                  <w:rStyle w:val="Collegamentoipertestuale"/>
                </w:rPr>
                <w:t>tariff tables</w:t>
              </w:r>
            </w:hyperlink>
            <w:r w:rsidRPr="006B6390">
              <w:t xml:space="preserve"> showing the tariffs that will be applicable for each tariff period following DECC’s quarterly degression announcement</w:t>
            </w:r>
            <w:r w:rsidR="00C11DA0">
              <w:t xml:space="preserve">s </w:t>
            </w:r>
            <w:r w:rsidR="00C11DA0" w:rsidRPr="005024CB">
              <w:t>in 2014</w:t>
            </w:r>
            <w:r w:rsidRPr="005024CB">
              <w:t xml:space="preserve">. </w:t>
            </w:r>
          </w:p>
          <w:p w:rsidR="00A47053" w:rsidRPr="005024CB" w:rsidRDefault="00A47053" w:rsidP="00A5026C">
            <w:pPr>
              <w:pStyle w:val="Nessunaspaziatura"/>
              <w:jc w:val="left"/>
              <w:cnfStyle w:val="000000000000"/>
            </w:pPr>
            <w:r w:rsidRPr="005024CB">
              <w:t>From Oct. 201</w:t>
            </w:r>
            <w:r w:rsidR="00C11DA0" w:rsidRPr="005024CB">
              <w:t>4</w:t>
            </w:r>
            <w:r w:rsidR="009527A7">
              <w:t>Tier 1</w:t>
            </w:r>
            <w:r w:rsidR="004E5539">
              <w:rPr>
                <w:rStyle w:val="Rimandonotaapidipagina"/>
              </w:rPr>
              <w:footnoteReference w:id="23"/>
            </w:r>
            <w:r w:rsidRPr="005024CB">
              <w:t xml:space="preserve">prices are: </w:t>
            </w:r>
          </w:p>
          <w:p w:rsidR="00A47053" w:rsidRDefault="00A47053" w:rsidP="00A5026C">
            <w:pPr>
              <w:pStyle w:val="Nessunaspaziatura"/>
              <w:jc w:val="left"/>
              <w:cnfStyle w:val="000000000000"/>
            </w:pPr>
            <w:r w:rsidRPr="005024CB">
              <w:t>Small</w:t>
            </w:r>
            <w:r w:rsidR="009527A7">
              <w:t xml:space="preserve"> solid </w:t>
            </w:r>
            <w:r w:rsidRPr="005024CB">
              <w:t>bi</w:t>
            </w:r>
            <w:r w:rsidRPr="006B6390">
              <w:t>omass (&lt;200 kWh)</w:t>
            </w:r>
            <w:r w:rsidR="009527A7">
              <w:t>7</w:t>
            </w:r>
            <w:r w:rsidRPr="006B6390">
              <w:t xml:space="preserve">.6 </w:t>
            </w:r>
            <w:r>
              <w:t>p/kWh</w:t>
            </w:r>
            <w:r w:rsidR="009527A7">
              <w:t xml:space="preserve">; </w:t>
            </w:r>
            <w:r w:rsidRPr="006B6390">
              <w:t xml:space="preserve">medium </w:t>
            </w:r>
            <w:r>
              <w:t xml:space="preserve">(200 kWh to </w:t>
            </w:r>
            <w:r w:rsidRPr="006B6390">
              <w:t>&lt;1,000 kWth) 5.</w:t>
            </w:r>
            <w:r w:rsidR="009527A7">
              <w:t>1 p/kWh; and</w:t>
            </w:r>
            <w:r w:rsidRPr="006B6390">
              <w:t xml:space="preserve"> large</w:t>
            </w:r>
            <w:r w:rsidR="009527A7">
              <w:t xml:space="preserve"> (1,000 kWth and above) 2</w:t>
            </w:r>
            <w:r w:rsidRPr="006B6390">
              <w:t xml:space="preserve">p/kWh. </w:t>
            </w:r>
          </w:p>
          <w:p w:rsidR="005024CB" w:rsidRDefault="009527A7" w:rsidP="00A5026C">
            <w:pPr>
              <w:pStyle w:val="Nessunaspaziatura"/>
              <w:jc w:val="left"/>
              <w:cnfStyle w:val="000000000000"/>
            </w:pPr>
            <w:r>
              <w:t>Solid b</w:t>
            </w:r>
            <w:r w:rsidR="005024CB">
              <w:t>iomass CHP</w:t>
            </w:r>
            <w:r>
              <w:t>: 4.1 p/kWh.</w:t>
            </w:r>
          </w:p>
          <w:p w:rsidR="005024CB" w:rsidRPr="006B6390" w:rsidRDefault="00A47053" w:rsidP="004E5539">
            <w:pPr>
              <w:pStyle w:val="Nessunaspaziatura"/>
              <w:jc w:val="left"/>
              <w:cnfStyle w:val="000000000000"/>
            </w:pPr>
            <w:r w:rsidRPr="006B6390">
              <w:t xml:space="preserve">Biomethane </w:t>
            </w:r>
            <w:r w:rsidR="009527A7">
              <w:t>injection &amp; Small biogas combustion (Less than 200 kWth): 7.5</w:t>
            </w:r>
            <w:r>
              <w:t>p/kW</w:t>
            </w:r>
            <w:r w:rsidR="004E5539">
              <w:t xml:space="preserve">h; </w:t>
            </w:r>
            <w:r w:rsidR="009527A7">
              <w:t xml:space="preserve">Medium biogas combustion (200 kWth and above &amp; less than 600 kWth):  </w:t>
            </w:r>
            <w:r w:rsidR="009527A7" w:rsidRPr="009527A7">
              <w:t>5.9</w:t>
            </w:r>
            <w:r w:rsidR="009527A7">
              <w:t xml:space="preserve"> p/kWh; and Large (</w:t>
            </w:r>
            <w:r w:rsidR="009527A7" w:rsidRPr="009527A7">
              <w:t>600 kWth and above</w:t>
            </w:r>
            <w:r w:rsidR="009527A7">
              <w:t>) 2.2 p/kWh.</w:t>
            </w:r>
          </w:p>
        </w:tc>
      </w:tr>
      <w:tr w:rsidR="00A47053" w:rsidRPr="006B6390" w:rsidTr="006A734D">
        <w:trPr>
          <w:cnfStyle w:val="000000100000"/>
          <w:cantSplit/>
          <w:trHeight w:val="132"/>
        </w:trPr>
        <w:tc>
          <w:tcPr>
            <w:cnfStyle w:val="001000000000"/>
            <w:tcW w:w="1668" w:type="dxa"/>
          </w:tcPr>
          <w:p w:rsidR="00A47053" w:rsidRPr="006B6390" w:rsidRDefault="00A47053" w:rsidP="006A734D">
            <w:pPr>
              <w:pStyle w:val="Nessunaspaziatura"/>
              <w:jc w:val="left"/>
            </w:pPr>
            <w:r w:rsidRPr="006B6390">
              <w:lastRenderedPageBreak/>
              <w:t>Renewable Energy Guarantee of Origin (REGO)</w:t>
            </w:r>
            <w:r w:rsidRPr="006B6390">
              <w:rPr>
                <w:vertAlign w:val="superscript"/>
              </w:rPr>
              <w:footnoteReference w:id="24"/>
            </w:r>
          </w:p>
        </w:tc>
        <w:tc>
          <w:tcPr>
            <w:tcW w:w="2693" w:type="dxa"/>
          </w:tcPr>
          <w:p w:rsidR="00A47053" w:rsidRPr="006B6390" w:rsidRDefault="00A47053" w:rsidP="006A734D">
            <w:pPr>
              <w:pStyle w:val="Nessunaspaziatura"/>
              <w:jc w:val="left"/>
              <w:cnfStyle w:val="000000100000"/>
            </w:pPr>
            <w:r w:rsidRPr="006B6390">
              <w:t xml:space="preserve">To show that electricity was produced from eligible renewable energy sources. </w:t>
            </w:r>
          </w:p>
        </w:tc>
        <w:tc>
          <w:tcPr>
            <w:tcW w:w="5953" w:type="dxa"/>
          </w:tcPr>
          <w:p w:rsidR="00A47053" w:rsidRPr="006B6390" w:rsidRDefault="00A47053" w:rsidP="006A734D">
            <w:pPr>
              <w:pStyle w:val="Nessunaspaziatura"/>
              <w:jc w:val="left"/>
              <w:cnfStyle w:val="000000100000"/>
            </w:pPr>
            <w:r w:rsidRPr="006B6390">
              <w:t>REGOs are issued by Ofgem, and works alongside the ROC scheme.The main use of REGOs is in fuel mix disclosure FMD by electricity suppliers. FMD requires licensed electricity suppliers to disclose to their customers, and potential customers, the mix of used to generate the electricity supplied annually (coal, gas, nuclear, renewable and other).</w:t>
            </w:r>
          </w:p>
          <w:p w:rsidR="00A47053" w:rsidRPr="006B6390" w:rsidRDefault="00A47053" w:rsidP="006A734D">
            <w:pPr>
              <w:pStyle w:val="Nessunaspaziatura"/>
              <w:jc w:val="left"/>
              <w:cnfStyle w:val="000000100000"/>
            </w:pPr>
            <w:r w:rsidRPr="006B6390">
              <w:t xml:space="preserve">One REGO is issued for each megawatt hour (MWh) of eligible renewable output generated (with effect from 5 December 2010). </w:t>
            </w:r>
          </w:p>
          <w:p w:rsidR="00A47053" w:rsidRPr="006B6390" w:rsidRDefault="00A47053" w:rsidP="006A734D">
            <w:pPr>
              <w:pStyle w:val="Nessunaspaziatura"/>
              <w:jc w:val="left"/>
              <w:cnfStyle w:val="000000100000"/>
            </w:pPr>
            <w:r w:rsidRPr="006B6390">
              <w:t xml:space="preserve">The primary use of REGOs in Great Britain and Northern Ireland is for Fuel Mix Disclosure (FMD). </w:t>
            </w:r>
          </w:p>
        </w:tc>
        <w:tc>
          <w:tcPr>
            <w:tcW w:w="3828" w:type="dxa"/>
          </w:tcPr>
          <w:p w:rsidR="00A47053" w:rsidRPr="006B6390" w:rsidRDefault="00A47053" w:rsidP="006A734D">
            <w:pPr>
              <w:pStyle w:val="Nessunaspaziatura"/>
              <w:jc w:val="left"/>
              <w:cnfStyle w:val="000000100000"/>
            </w:pPr>
            <w:r w:rsidRPr="006B6390">
              <w:t>No market value at present, but it is envisaged that within the next few years REGO’s may become more important. Consumers are getting informed and can choose.</w:t>
            </w:r>
          </w:p>
        </w:tc>
      </w:tr>
      <w:tr w:rsidR="00A47053" w:rsidRPr="006B6390" w:rsidTr="006A734D">
        <w:trPr>
          <w:cantSplit/>
          <w:trHeight w:val="132"/>
        </w:trPr>
        <w:tc>
          <w:tcPr>
            <w:cnfStyle w:val="001000000000"/>
            <w:tcW w:w="1668" w:type="dxa"/>
          </w:tcPr>
          <w:p w:rsidR="00A47053" w:rsidRDefault="00A47053" w:rsidP="00A816EB">
            <w:pPr>
              <w:pStyle w:val="Nessunaspaziatura"/>
            </w:pPr>
            <w:r w:rsidRPr="00A816EB">
              <w:t>Climate Change Levy</w:t>
            </w:r>
            <w:r>
              <w:t xml:space="preserve"> (CCL) - 2001 </w:t>
            </w:r>
          </w:p>
        </w:tc>
        <w:tc>
          <w:tcPr>
            <w:tcW w:w="2693" w:type="dxa"/>
          </w:tcPr>
          <w:p w:rsidR="00A47053" w:rsidRPr="006B6390" w:rsidRDefault="00A47053" w:rsidP="006A734D">
            <w:pPr>
              <w:pStyle w:val="Nessunaspaziatura"/>
              <w:jc w:val="left"/>
              <w:cnfStyle w:val="000000000000"/>
            </w:pPr>
          </w:p>
        </w:tc>
        <w:tc>
          <w:tcPr>
            <w:tcW w:w="5953" w:type="dxa"/>
          </w:tcPr>
          <w:p w:rsidR="00A47053" w:rsidRPr="006B6390" w:rsidRDefault="00A47053" w:rsidP="00A816EB">
            <w:pPr>
              <w:pStyle w:val="Nessunaspaziatura"/>
              <w:jc w:val="left"/>
              <w:cnfStyle w:val="000000000000"/>
            </w:pPr>
            <w:r>
              <w:t>It is a tax chargeable on non-domestic supplies of certain energy products (including electricity) in the UK. Electricity generated from renewable sources is exempt from such tax and generators of green electricity are issued with Levy Exemption Certificates (LECs) that evidence the green origin of the electricity. LECs are another source of revenue: generators sell the LECs to suppliers together with the green electricity and suppliers will be able to use these LECs as evidence that they have supplied energy from renewable sources and are therefore exempt from paying CCL for such supply.</w:t>
            </w:r>
          </w:p>
        </w:tc>
        <w:tc>
          <w:tcPr>
            <w:tcW w:w="3828" w:type="dxa"/>
          </w:tcPr>
          <w:p w:rsidR="00A47053" w:rsidRPr="006B6390" w:rsidRDefault="00A47053" w:rsidP="006A734D">
            <w:pPr>
              <w:pStyle w:val="Nessunaspaziatura"/>
              <w:jc w:val="left"/>
              <w:cnfStyle w:val="000000000000"/>
            </w:pPr>
            <w:r>
              <w:t>It is currently levied on electricity suppliers at a rate of 0.509p/kWh. This rate is adjusted annually in line with inflation.</w:t>
            </w:r>
          </w:p>
        </w:tc>
      </w:tr>
      <w:tr w:rsidR="00A47053" w:rsidRPr="006B6390" w:rsidTr="006A734D">
        <w:trPr>
          <w:cnfStyle w:val="000000100000"/>
          <w:cantSplit/>
        </w:trPr>
        <w:tc>
          <w:tcPr>
            <w:cnfStyle w:val="001000000000"/>
            <w:tcW w:w="1668" w:type="dxa"/>
          </w:tcPr>
          <w:p w:rsidR="00A47053" w:rsidRDefault="00A47053" w:rsidP="006A734D">
            <w:pPr>
              <w:pStyle w:val="Nessunaspaziatura"/>
              <w:jc w:val="left"/>
            </w:pPr>
            <w:r w:rsidRPr="006B6390">
              <w:t>Energy Crop Scheme</w:t>
            </w:r>
            <w:r w:rsidRPr="006B6390">
              <w:rPr>
                <w:vertAlign w:val="superscript"/>
              </w:rPr>
              <w:footnoteReference w:id="25"/>
            </w:r>
            <w:r>
              <w:t>-</w:t>
            </w:r>
          </w:p>
          <w:p w:rsidR="00A47053" w:rsidRPr="00993494" w:rsidRDefault="00A47053" w:rsidP="006A734D">
            <w:pPr>
              <w:pStyle w:val="Nessunaspaziatura"/>
              <w:jc w:val="left"/>
            </w:pPr>
            <w:r>
              <w:t>Now closed</w:t>
            </w:r>
          </w:p>
        </w:tc>
        <w:tc>
          <w:tcPr>
            <w:tcW w:w="2693" w:type="dxa"/>
          </w:tcPr>
          <w:p w:rsidR="00A47053" w:rsidRPr="006B6390" w:rsidRDefault="00A47053" w:rsidP="006A734D">
            <w:pPr>
              <w:pStyle w:val="Nessunaspaziatura"/>
              <w:jc w:val="left"/>
              <w:cnfStyle w:val="000000100000"/>
            </w:pPr>
            <w:r w:rsidRPr="006B6390">
              <w:t>To incentivise the planting of energy crops for bioenergy and biofuels markets</w:t>
            </w:r>
          </w:p>
        </w:tc>
        <w:tc>
          <w:tcPr>
            <w:tcW w:w="5953" w:type="dxa"/>
          </w:tcPr>
          <w:p w:rsidR="00A47053" w:rsidRPr="006B6390" w:rsidRDefault="00A47053" w:rsidP="006A734D">
            <w:pPr>
              <w:pStyle w:val="Nessunaspaziatura"/>
              <w:jc w:val="left"/>
              <w:cnfStyle w:val="000000100000"/>
            </w:pPr>
            <w:r w:rsidRPr="006B6390">
              <w:t>Provides grants for establishing short rotation coppice (including willow, poplar, hazel, silver birch, sycamore, sweet chestnut and lime) and Miscanthus in appropriate locations. ECS participants can plant in one year, or choose to phase the planting for up to three years.  Under the arrangements for the current scheme planting can be undertaken in 2013, 2014 and 2015</w:t>
            </w:r>
          </w:p>
          <w:p w:rsidR="00A47053" w:rsidRPr="006B6390" w:rsidRDefault="00A47053" w:rsidP="006A734D">
            <w:pPr>
              <w:pStyle w:val="Nessunaspaziatura"/>
              <w:jc w:val="left"/>
              <w:cnfStyle w:val="000000100000"/>
            </w:pPr>
            <w:r w:rsidRPr="006B6390">
              <w:t>Crops must be used for heat, combined heat and power (CHP) or power generation.  Own use is permitted.</w:t>
            </w:r>
          </w:p>
        </w:tc>
        <w:tc>
          <w:tcPr>
            <w:tcW w:w="3828" w:type="dxa"/>
          </w:tcPr>
          <w:p w:rsidR="00A47053" w:rsidRPr="006B6390" w:rsidRDefault="00A47053" w:rsidP="006A734D">
            <w:pPr>
              <w:pStyle w:val="Nessunaspaziatura"/>
              <w:jc w:val="left"/>
              <w:cnfStyle w:val="000000100000"/>
            </w:pPr>
            <w:r w:rsidRPr="006B6390">
              <w:t>Payments will be made on the basis of: 50% of actual costs i.e. suppliers/ materials/ contractor costs and/or 50% of on-farm costs i.e. use of own labour and machinery, where applicable</w:t>
            </w:r>
          </w:p>
          <w:p w:rsidR="00A47053" w:rsidRPr="006B6390" w:rsidRDefault="00A47053" w:rsidP="006A734D">
            <w:pPr>
              <w:pStyle w:val="Nessunaspaziatura"/>
              <w:jc w:val="left"/>
              <w:cnfStyle w:val="000000100000"/>
            </w:pPr>
          </w:p>
        </w:tc>
      </w:tr>
    </w:tbl>
    <w:p w:rsidR="00C21595" w:rsidRPr="006B6390" w:rsidRDefault="00C21595" w:rsidP="00CB1CB2">
      <w:pPr>
        <w:pStyle w:val="Titolo2"/>
      </w:pPr>
      <w:r w:rsidRPr="006B6390">
        <w:lastRenderedPageBreak/>
        <w:t>Biofuels</w:t>
      </w:r>
    </w:p>
    <w:tbl>
      <w:tblPr>
        <w:tblStyle w:val="Elencochiaro-Colore2"/>
        <w:tblpPr w:leftFromText="181" w:rightFromText="181" w:vertAnchor="text" w:horzAnchor="margin" w:tblpY="1"/>
        <w:tblW w:w="13858" w:type="dxa"/>
        <w:tblLook w:val="04A0"/>
      </w:tblPr>
      <w:tblGrid>
        <w:gridCol w:w="1951"/>
        <w:gridCol w:w="2268"/>
        <w:gridCol w:w="7513"/>
        <w:gridCol w:w="2126"/>
      </w:tblGrid>
      <w:tr w:rsidR="00F51EA3" w:rsidRPr="006B6390" w:rsidTr="00C42496">
        <w:trPr>
          <w:cnfStyle w:val="100000000000"/>
        </w:trPr>
        <w:tc>
          <w:tcPr>
            <w:cnfStyle w:val="001000000000"/>
            <w:tcW w:w="1951" w:type="dxa"/>
          </w:tcPr>
          <w:p w:rsidR="00F51EA3" w:rsidRPr="006B6390" w:rsidRDefault="00F51EA3" w:rsidP="00C42496">
            <w:pPr>
              <w:pStyle w:val="Nessunaspaziatura"/>
              <w:jc w:val="left"/>
              <w:rPr>
                <w:b w:val="0"/>
              </w:rPr>
            </w:pPr>
            <w:r w:rsidRPr="006B6390">
              <w:t xml:space="preserve">Policy </w:t>
            </w:r>
          </w:p>
        </w:tc>
        <w:tc>
          <w:tcPr>
            <w:tcW w:w="2268" w:type="dxa"/>
          </w:tcPr>
          <w:p w:rsidR="00F51EA3" w:rsidRPr="006B6390" w:rsidRDefault="00F51EA3" w:rsidP="00C42496">
            <w:pPr>
              <w:pStyle w:val="Nessunaspaziatura"/>
              <w:jc w:val="left"/>
              <w:cnfStyle w:val="100000000000"/>
              <w:rPr>
                <w:b w:val="0"/>
              </w:rPr>
            </w:pPr>
            <w:r w:rsidRPr="006B6390">
              <w:t>Ambitions</w:t>
            </w:r>
          </w:p>
        </w:tc>
        <w:tc>
          <w:tcPr>
            <w:tcW w:w="7513" w:type="dxa"/>
          </w:tcPr>
          <w:p w:rsidR="00F51EA3" w:rsidRPr="006B6390" w:rsidRDefault="00F51EA3" w:rsidP="00C42496">
            <w:pPr>
              <w:pStyle w:val="Nessunaspaziatura"/>
              <w:jc w:val="left"/>
              <w:cnfStyle w:val="100000000000"/>
              <w:rPr>
                <w:b w:val="0"/>
              </w:rPr>
            </w:pPr>
            <w:r w:rsidRPr="006B6390">
              <w:t>Policy Measures</w:t>
            </w:r>
          </w:p>
        </w:tc>
        <w:tc>
          <w:tcPr>
            <w:tcW w:w="2126" w:type="dxa"/>
          </w:tcPr>
          <w:p w:rsidR="00F51EA3" w:rsidRPr="006B6390" w:rsidRDefault="00F51EA3" w:rsidP="00C42496">
            <w:pPr>
              <w:pStyle w:val="Nessunaspaziatura"/>
              <w:jc w:val="left"/>
              <w:cnfStyle w:val="100000000000"/>
              <w:rPr>
                <w:b w:val="0"/>
              </w:rPr>
            </w:pPr>
            <w:r w:rsidRPr="006B6390">
              <w:t>Financial Incentives</w:t>
            </w:r>
          </w:p>
        </w:tc>
      </w:tr>
      <w:tr w:rsidR="00F51EA3" w:rsidRPr="006B6390" w:rsidTr="00C42496">
        <w:trPr>
          <w:cnfStyle w:val="000000100000"/>
        </w:trPr>
        <w:tc>
          <w:tcPr>
            <w:cnfStyle w:val="001000000000"/>
            <w:tcW w:w="1951" w:type="dxa"/>
          </w:tcPr>
          <w:p w:rsidR="00F51EA3" w:rsidRPr="006B6390" w:rsidRDefault="00F51EA3" w:rsidP="00C42496">
            <w:pPr>
              <w:pStyle w:val="Nessunaspaziatura"/>
              <w:jc w:val="left"/>
              <w:rPr>
                <w:lang w:val="fr-BE"/>
              </w:rPr>
            </w:pPr>
            <w:r w:rsidRPr="006B6390">
              <w:rPr>
                <w:lang w:val="fr-BE"/>
              </w:rPr>
              <w:t>Renewable Transport Fuels Obligation (RTFO)</w:t>
            </w:r>
            <w:r w:rsidRPr="006B6390">
              <w:rPr>
                <w:vertAlign w:val="superscript"/>
              </w:rPr>
              <w:footnoteReference w:id="26"/>
            </w:r>
            <w:r w:rsidR="00E32C76">
              <w:rPr>
                <w:lang w:val="fr-BE"/>
              </w:rPr>
              <w:t xml:space="preserve">, </w:t>
            </w:r>
            <w:r w:rsidR="00E32C76">
              <w:rPr>
                <w:rStyle w:val="Rimandonotaapidipagina"/>
                <w:lang w:val="fr-BE"/>
              </w:rPr>
              <w:footnoteReference w:id="27"/>
            </w:r>
            <w:r w:rsidR="00AD61A2">
              <w:rPr>
                <w:lang w:val="fr-BE"/>
              </w:rPr>
              <w:t xml:space="preserve">, </w:t>
            </w:r>
            <w:r w:rsidR="00AD61A2">
              <w:rPr>
                <w:rStyle w:val="Rimandonotaapidipagina"/>
                <w:lang w:val="fr-BE"/>
              </w:rPr>
              <w:footnoteReference w:id="28"/>
            </w:r>
          </w:p>
        </w:tc>
        <w:tc>
          <w:tcPr>
            <w:tcW w:w="2268" w:type="dxa"/>
          </w:tcPr>
          <w:p w:rsidR="00F51EA3" w:rsidRPr="006B6390" w:rsidRDefault="00F51EA3" w:rsidP="00C42496">
            <w:pPr>
              <w:pStyle w:val="Nessunaspaziatura"/>
              <w:jc w:val="left"/>
              <w:cnfStyle w:val="000000100000"/>
            </w:pPr>
            <w:r w:rsidRPr="006B6390">
              <w:t xml:space="preserve">The RTFO obligates suppliers of fossil fuels and biofuels to include increasing levels of biofuels (both liquid and gaseous), as specifically defined in the RTFO order, in the road transport fuel mix. </w:t>
            </w:r>
          </w:p>
        </w:tc>
        <w:tc>
          <w:tcPr>
            <w:tcW w:w="7513" w:type="dxa"/>
          </w:tcPr>
          <w:p w:rsidR="00F51EA3" w:rsidRPr="006B6390" w:rsidRDefault="00F51EA3" w:rsidP="00C42496">
            <w:pPr>
              <w:pStyle w:val="Nessunaspaziatura"/>
              <w:jc w:val="left"/>
              <w:cnfStyle w:val="000000100000"/>
            </w:pPr>
            <w:r w:rsidRPr="006B6390">
              <w:t>All fuel suppliers who supply at least 450,000 litres of fuel a year are obligated</w:t>
            </w:r>
            <w:r w:rsidR="008A1F2F">
              <w:t xml:space="preserve"> to comply</w:t>
            </w:r>
            <w:r w:rsidRPr="006B6390">
              <w:t xml:space="preserve">. </w:t>
            </w:r>
          </w:p>
          <w:p w:rsidR="00F51EA3" w:rsidRPr="006B6390" w:rsidRDefault="00F51EA3" w:rsidP="00C42496">
            <w:pPr>
              <w:pStyle w:val="Nessunaspaziatura"/>
              <w:jc w:val="left"/>
              <w:cnfStyle w:val="000000100000"/>
            </w:pPr>
            <w:r w:rsidRPr="006B6390">
              <w:t xml:space="preserve">The amount of biofuel that must be supplied increases annually until April 2013 when it will reach 4.75% of total road transport fuel supplied by volume. </w:t>
            </w:r>
            <w:r w:rsidR="00E32C76">
              <w:t>This target is set to continue for 2014/15.</w:t>
            </w:r>
          </w:p>
          <w:p w:rsidR="008A1F2F" w:rsidRDefault="00F51EA3" w:rsidP="00C42496">
            <w:pPr>
              <w:pStyle w:val="Nessunaspaziatura"/>
              <w:jc w:val="left"/>
              <w:cnfStyle w:val="000000100000"/>
            </w:pPr>
            <w:r w:rsidRPr="006B6390">
              <w:t>Owners of biofuel at the duty point are awarded one (RTFC) per litre of bio</w:t>
            </w:r>
            <w:r w:rsidR="000109AE">
              <w:t>fuel or kilogram of biomethane</w:t>
            </w:r>
            <w:r w:rsidRPr="006B6390">
              <w:t xml:space="preserve"> supplied. </w:t>
            </w:r>
            <w:r w:rsidR="008A1F2F">
              <w:t>The unit of measuring is subject to change in the future.</w:t>
            </w:r>
          </w:p>
          <w:p w:rsidR="00F51EA3" w:rsidRPr="006B6390" w:rsidRDefault="008A1F2F" w:rsidP="00C42496">
            <w:pPr>
              <w:pStyle w:val="Nessunaspaziatura"/>
              <w:jc w:val="left"/>
              <w:cnfStyle w:val="000000100000"/>
            </w:pPr>
            <w:r>
              <w:t xml:space="preserve">Sustainability criteria of biofuels are strict. </w:t>
            </w:r>
            <w:r w:rsidRPr="008A1F2F">
              <w:t>Biofuel that does not meet these sustainability criteria will be counted as fossil fuel and accrue an obligation to supply sustainable biofuel, in the same manner as any other fossil fuel.</w:t>
            </w:r>
            <w:r>
              <w:t xml:space="preserve"> F</w:t>
            </w:r>
            <w:r w:rsidR="00F51EA3" w:rsidRPr="006B6390">
              <w:t>uels produced from certain feedstocks are eligible for double counting. These include fuels derived from wastes and residues as well as those from lignocellulosic and non-edible cellulosic material</w:t>
            </w:r>
            <w:r w:rsidR="00AD61A2">
              <w:t xml:space="preserve"> (no forest biomass)</w:t>
            </w:r>
            <w:r w:rsidR="00F51EA3" w:rsidRPr="006B6390">
              <w:t xml:space="preserve">. </w:t>
            </w:r>
          </w:p>
          <w:p w:rsidR="00F51EA3" w:rsidRPr="006B6390" w:rsidRDefault="00F51EA3" w:rsidP="00C42496">
            <w:pPr>
              <w:pStyle w:val="Nessunaspaziatura"/>
              <w:jc w:val="left"/>
              <w:cnfStyle w:val="000000100000"/>
            </w:pPr>
            <w:r w:rsidRPr="006B6390">
              <w:t>At the end of the year, suppliers of fossil road transport fuel demonstrate compliance with the RTFO by redeeming the appropriate number of RTFCs to demonstrate the required volume of biofuel was supplied. Alternatively, obligated fossil fuel suppliers can pay a buy-out price per litre of obligation, the buy-out price being set in the RTFO order. Suppliers are allowed to carry over RTFCs from one year to the next, provided that no more than 25% of the supplier’s obligation to supply biofuel for the later year is met by carrying over RTFCs and the fuels supplied met the sustainability requirements of the period in which the certificates are redeemed.</w:t>
            </w:r>
          </w:p>
        </w:tc>
        <w:tc>
          <w:tcPr>
            <w:tcW w:w="2126" w:type="dxa"/>
          </w:tcPr>
          <w:p w:rsidR="00F51EA3" w:rsidRPr="006B6390" w:rsidRDefault="006622AC" w:rsidP="00C42496">
            <w:pPr>
              <w:pStyle w:val="Nessunaspaziatura"/>
              <w:jc w:val="left"/>
              <w:cnfStyle w:val="000000100000"/>
            </w:pPr>
            <w:r w:rsidRPr="006B6390">
              <w:t xml:space="preserve">In </w:t>
            </w:r>
            <w:r w:rsidR="00235DD0">
              <w:t>January 2014 RTFC auctions</w:t>
            </w:r>
            <w:r w:rsidRPr="006B6390">
              <w:t xml:space="preserve">were </w:t>
            </w:r>
            <w:r w:rsidR="00235DD0">
              <w:t>put on hold</w:t>
            </w:r>
            <w:r w:rsidR="003C5D15">
              <w:t xml:space="preserve"> due to lack of market demand</w:t>
            </w:r>
            <w:r w:rsidR="00235DD0">
              <w:t xml:space="preserve">. </w:t>
            </w:r>
            <w:r w:rsidR="00C03AE2">
              <w:t>The last RTFC price was</w:t>
            </w:r>
            <w:r w:rsidR="00235DD0">
              <w:t xml:space="preserve"> 10</w:t>
            </w:r>
            <w:r w:rsidR="00F51EA3" w:rsidRPr="006B6390">
              <w:t>p</w:t>
            </w:r>
            <w:r w:rsidR="00235DD0">
              <w:t>/l</w:t>
            </w:r>
            <w:r w:rsidR="00F51EA3" w:rsidRPr="006B6390">
              <w:t xml:space="preserve">. </w:t>
            </w:r>
          </w:p>
          <w:p w:rsidR="00F51EA3" w:rsidRPr="006B6390" w:rsidRDefault="00F51EA3" w:rsidP="00C42496">
            <w:pPr>
              <w:pStyle w:val="Nessunaspaziatura"/>
              <w:jc w:val="left"/>
              <w:cnfStyle w:val="000000100000"/>
            </w:pPr>
          </w:p>
        </w:tc>
      </w:tr>
    </w:tbl>
    <w:p w:rsidR="002A0734" w:rsidRPr="006B6390" w:rsidRDefault="002A0734" w:rsidP="00C42496">
      <w:pPr>
        <w:spacing w:after="0" w:line="240" w:lineRule="auto"/>
      </w:pPr>
    </w:p>
    <w:sectPr w:rsidR="002A0734" w:rsidRPr="006B6390" w:rsidSect="00C21595">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FC5" w:rsidRDefault="00C21FC5" w:rsidP="00C21595">
      <w:pPr>
        <w:spacing w:after="0" w:line="240" w:lineRule="auto"/>
      </w:pPr>
      <w:r>
        <w:separator/>
      </w:r>
    </w:p>
  </w:endnote>
  <w:endnote w:type="continuationSeparator" w:id="1">
    <w:p w:rsidR="00C21FC5" w:rsidRDefault="00C21FC5" w:rsidP="00C215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ao UI">
    <w:panose1 w:val="020B0502040204020203"/>
    <w:charset w:val="00"/>
    <w:family w:val="swiss"/>
    <w:pitch w:val="variable"/>
    <w:sig w:usb0="02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utiger-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FC5" w:rsidRDefault="00C21FC5" w:rsidP="00C21595">
      <w:pPr>
        <w:spacing w:after="0" w:line="240" w:lineRule="auto"/>
      </w:pPr>
      <w:r>
        <w:separator/>
      </w:r>
    </w:p>
  </w:footnote>
  <w:footnote w:type="continuationSeparator" w:id="1">
    <w:p w:rsidR="00C21FC5" w:rsidRDefault="00C21FC5" w:rsidP="00C21595">
      <w:pPr>
        <w:spacing w:after="0" w:line="240" w:lineRule="auto"/>
      </w:pPr>
      <w:r>
        <w:continuationSeparator/>
      </w:r>
    </w:p>
  </w:footnote>
  <w:footnote w:id="2">
    <w:p w:rsidR="00C21595" w:rsidRDefault="00C21595" w:rsidP="00C21595">
      <w:pPr>
        <w:pStyle w:val="Testonotaapidipagina"/>
      </w:pPr>
      <w:r>
        <w:rPr>
          <w:rStyle w:val="Rimandonotaapidipagina"/>
        </w:rPr>
        <w:footnoteRef/>
      </w:r>
      <w:hyperlink r:id="rId1" w:history="1">
        <w:r w:rsidRPr="009A7DD3">
          <w:rPr>
            <w:rStyle w:val="Collegamentoipertestuale"/>
          </w:rPr>
          <w:t>http://www.legislation.gov.uk/ukpga/2008/27/contents</w:t>
        </w:r>
      </w:hyperlink>
    </w:p>
  </w:footnote>
  <w:footnote w:id="3">
    <w:p w:rsidR="00C21595" w:rsidRDefault="00C21595" w:rsidP="00C21595">
      <w:pPr>
        <w:pStyle w:val="Testonotaapidipagina"/>
      </w:pPr>
      <w:r>
        <w:rPr>
          <w:rStyle w:val="Rimandonotaapidipagina"/>
        </w:rPr>
        <w:footnoteRef/>
      </w:r>
      <w:hyperlink r:id="rId2" w:history="1">
        <w:r w:rsidR="00E46417" w:rsidRPr="00DF3530">
          <w:rPr>
            <w:rStyle w:val="Collegamentoipertestuale"/>
          </w:rPr>
          <w:t>http://webarchive.nationalarchives.gov.uk/20100509134746/http:/www.decc.gov.uk/en/content/cms/publications/lc_trans_plan/lc_trans_plan.aspx</w:t>
        </w:r>
      </w:hyperlink>
    </w:p>
  </w:footnote>
  <w:footnote w:id="4">
    <w:p w:rsidR="00D40127" w:rsidRPr="00D40127" w:rsidRDefault="00C87E0D" w:rsidP="00D40127">
      <w:pPr>
        <w:pStyle w:val="Testonotaapidipagina"/>
      </w:pPr>
      <w:hyperlink r:id="rId3" w:history="1">
        <w:r w:rsidR="00D40127" w:rsidRPr="00AF5653">
          <w:rPr>
            <w:rStyle w:val="Collegamentoipertestuale"/>
          </w:rPr>
          <w:t>https://www.gov.uk/government/uploads/system/uploads/attachment_data/file/47613/3702-the-carbon-plan-delivering-our-low-carbon-future.pdf</w:t>
        </w:r>
      </w:hyperlink>
    </w:p>
  </w:footnote>
  <w:footnote w:id="5">
    <w:p w:rsidR="00C21595" w:rsidRDefault="00C21595" w:rsidP="00C21595">
      <w:pPr>
        <w:pStyle w:val="Testonotaapidipagina"/>
      </w:pPr>
      <w:r>
        <w:rPr>
          <w:rStyle w:val="Rimandonotaapidipagina"/>
        </w:rPr>
        <w:footnoteRef/>
      </w:r>
      <w:hyperlink r:id="rId4" w:history="1">
        <w:r w:rsidR="00AA0450" w:rsidRPr="00DF3530">
          <w:rPr>
            <w:rStyle w:val="Collegamentoipertestuale"/>
          </w:rPr>
          <w:t>https://www.gov.uk/government/uploads/system/uploads/attachment_data/file/47871/25-nat-ren-energy-action-plan.pdf</w:t>
        </w:r>
      </w:hyperlink>
    </w:p>
  </w:footnote>
  <w:footnote w:id="6">
    <w:p w:rsidR="00C21595" w:rsidRDefault="00C21595" w:rsidP="00C21595">
      <w:pPr>
        <w:pStyle w:val="Testonotaapidipagina"/>
      </w:pPr>
      <w:r>
        <w:rPr>
          <w:rStyle w:val="Rimandonotaapidipagina"/>
        </w:rPr>
        <w:footnoteRef/>
      </w:r>
      <w:hyperlink r:id="rId5" w:history="1">
        <w:r w:rsidR="00FD5913" w:rsidRPr="00DF3530">
          <w:rPr>
            <w:rStyle w:val="Collegamentoipertestuale"/>
          </w:rPr>
          <w:t>https://www.gov.uk/government/uploads/system/uploads/attachment_data/file/48128/2167-uk-renewable-energy-roadmap.pdf</w:t>
        </w:r>
      </w:hyperlink>
    </w:p>
  </w:footnote>
  <w:footnote w:id="7">
    <w:p w:rsidR="00C21595" w:rsidRDefault="00C21595" w:rsidP="00C21595">
      <w:pPr>
        <w:pStyle w:val="Testonotaapidipagina"/>
      </w:pPr>
      <w:r>
        <w:rPr>
          <w:rStyle w:val="Rimandonotaapidipagina"/>
        </w:rPr>
        <w:footnoteRef/>
      </w:r>
      <w:hyperlink r:id="rId6" w:history="1">
        <w:r w:rsidR="00375002" w:rsidRPr="000F4885">
          <w:rPr>
            <w:rStyle w:val="Collegamentoipertestuale"/>
          </w:rPr>
          <w:t>https://www.gov.uk/government/uploads/system/uploads/attachment_data/file/48129/2176-emr-white-paper.pdf</w:t>
        </w:r>
      </w:hyperlink>
    </w:p>
  </w:footnote>
  <w:footnote w:id="8">
    <w:p w:rsidR="0036152B" w:rsidRDefault="0036152B">
      <w:pPr>
        <w:pStyle w:val="Testonotaapidipagina"/>
      </w:pPr>
      <w:r>
        <w:rPr>
          <w:rStyle w:val="Rimandonotaapidipagina"/>
        </w:rPr>
        <w:footnoteRef/>
      </w:r>
      <w:hyperlink r:id="rId7" w:history="1">
        <w:r w:rsidRPr="00DF3530">
          <w:rPr>
            <w:rStyle w:val="Collegamentoipertestuale"/>
          </w:rPr>
          <w:t>http://www.scotland.gov.uk/Resource/Doc/278424/0083663.pdf</w:t>
        </w:r>
      </w:hyperlink>
    </w:p>
  </w:footnote>
  <w:footnote w:id="9">
    <w:p w:rsidR="00FD14E8" w:rsidRDefault="00FD14E8">
      <w:pPr>
        <w:pStyle w:val="Testonotaapidipagina"/>
      </w:pPr>
      <w:r>
        <w:rPr>
          <w:rStyle w:val="Rimandonotaapidipagina"/>
        </w:rPr>
        <w:footnoteRef/>
      </w:r>
      <w:hyperlink r:id="rId8" w:history="1">
        <w:r w:rsidRPr="004C5ED6">
          <w:rPr>
            <w:rStyle w:val="Collegamentoipertestuale"/>
          </w:rPr>
          <w:t>https://www.gov.uk/government/uploads/system/uploads/attachment_data/file/69505/pb13709-waste-water-nps.pdf</w:t>
        </w:r>
      </w:hyperlink>
    </w:p>
  </w:footnote>
  <w:footnote w:id="10">
    <w:p w:rsidR="00BF437A" w:rsidRDefault="00BF437A">
      <w:pPr>
        <w:pStyle w:val="Testonotaapidipagina"/>
      </w:pPr>
      <w:r>
        <w:rPr>
          <w:rStyle w:val="Rimandonotaapidipagina"/>
        </w:rPr>
        <w:footnoteRef/>
      </w:r>
      <w:hyperlink r:id="rId9" w:history="1">
        <w:r w:rsidRPr="00591DBA">
          <w:rPr>
            <w:rStyle w:val="Collegamentoipertestuale"/>
          </w:rPr>
          <w:t>http://www.water.org.uk/home/policy/positions/the-future-of-water-resources</w:t>
        </w:r>
      </w:hyperlink>
    </w:p>
  </w:footnote>
  <w:footnote w:id="11">
    <w:p w:rsidR="00C21595" w:rsidRDefault="00C21595" w:rsidP="00C21595">
      <w:pPr>
        <w:pStyle w:val="Testonotaapidipagina"/>
      </w:pPr>
      <w:r>
        <w:rPr>
          <w:rStyle w:val="Rimandonotaapidipagina"/>
        </w:rPr>
        <w:footnoteRef/>
      </w:r>
      <w:hyperlink r:id="rId10" w:history="1">
        <w:r w:rsidR="00455F10" w:rsidRPr="004B46F5">
          <w:rPr>
            <w:rStyle w:val="Collegamentoipertestuale"/>
          </w:rPr>
          <w:t>http://www.biomassenergycentre.org.uk/pls/portal/docs/PAGE/RESOURCES/REF_LIB_RES/PUBLICATIONS/UKBIOMASSSTRATEGY.PDF</w:t>
        </w:r>
      </w:hyperlink>
    </w:p>
  </w:footnote>
  <w:footnote w:id="12">
    <w:p w:rsidR="00C21595" w:rsidRDefault="00C21595" w:rsidP="00C21595">
      <w:pPr>
        <w:pStyle w:val="Testonotaapidipagina"/>
      </w:pPr>
      <w:r>
        <w:rPr>
          <w:rStyle w:val="Rimandonotaapidipagina"/>
        </w:rPr>
        <w:footnoteRef/>
      </w:r>
      <w:hyperlink r:id="rId11" w:history="1">
        <w:r w:rsidRPr="00FC1F20">
          <w:rPr>
            <w:rStyle w:val="Collegamentoipertestuale"/>
          </w:rPr>
          <w:t>http://www.defra.gov.uk/publications/files/anaerobic-digestion-strat-action-plan.pdf</w:t>
        </w:r>
      </w:hyperlink>
    </w:p>
  </w:footnote>
  <w:footnote w:id="13">
    <w:p w:rsidR="00826928" w:rsidRDefault="004B6CE2">
      <w:pPr>
        <w:pStyle w:val="Testonotaapidipagina"/>
      </w:pPr>
      <w:r>
        <w:rPr>
          <w:rStyle w:val="Rimandonotaapidipagina"/>
        </w:rPr>
        <w:footnoteRef/>
      </w:r>
      <w:hyperlink r:id="rId12" w:history="1">
        <w:r w:rsidRPr="00DF3530">
          <w:rPr>
            <w:rStyle w:val="Collegamentoipertestuale"/>
          </w:rPr>
          <w:t>http://wales.gov.uk/docs/desh/publications/101014bioenergyprogressen.pdf</w:t>
        </w:r>
      </w:hyperlink>
    </w:p>
  </w:footnote>
  <w:footnote w:id="14">
    <w:p w:rsidR="00C21595" w:rsidRDefault="00C21595" w:rsidP="00C21595">
      <w:pPr>
        <w:pStyle w:val="Testonotaapidipagina"/>
      </w:pPr>
      <w:r>
        <w:rPr>
          <w:rStyle w:val="Rimandonotaapidipagina"/>
        </w:rPr>
        <w:footnoteRef/>
      </w:r>
      <w:hyperlink r:id="rId13" w:history="1">
        <w:r w:rsidR="0036152B" w:rsidRPr="00DF3530">
          <w:rPr>
            <w:rStyle w:val="Collegamentoipertestuale"/>
          </w:rPr>
          <w:t>https://www.gov.uk/government/uploads/system/uploads/attachment_data/file/48337/5142-bioenergy-strategy-.pdf</w:t>
        </w:r>
      </w:hyperlink>
    </w:p>
  </w:footnote>
  <w:footnote w:id="15">
    <w:p w:rsidR="0063679D" w:rsidRDefault="0063679D" w:rsidP="00C21595">
      <w:pPr>
        <w:pStyle w:val="Testonotaapidipagina"/>
      </w:pPr>
      <w:r>
        <w:rPr>
          <w:rStyle w:val="Rimandonotaapidipagina"/>
        </w:rPr>
        <w:footnoteRef/>
      </w:r>
      <w:hyperlink r:id="rId14" w:history="1">
        <w:r w:rsidRPr="00FC1F20">
          <w:rPr>
            <w:rStyle w:val="Collegamentoipertestuale"/>
          </w:rPr>
          <w:t>http://www.decc.gov.uk/en/content/cms/meeting_energy/heat_strategy/heat_strategy.aspx</w:t>
        </w:r>
      </w:hyperlink>
    </w:p>
  </w:footnote>
  <w:footnote w:id="16">
    <w:p w:rsidR="00C21595" w:rsidRDefault="00C21595" w:rsidP="00C21595">
      <w:pPr>
        <w:pStyle w:val="Testonotaapidipagina"/>
      </w:pPr>
      <w:r>
        <w:rPr>
          <w:rStyle w:val="Rimandonotaapidipagina"/>
        </w:rPr>
        <w:footnoteRef/>
      </w:r>
      <w:hyperlink r:id="rId15" w:history="1">
        <w:r w:rsidRPr="000D36A7">
          <w:rPr>
            <w:rStyle w:val="Collegamentoipertestuale"/>
          </w:rPr>
          <w:t>http://www.decc.gov.uk/en/content/cms/meeting_energy/renewable_ener/renew_obs/renew_obs.aspx</w:t>
        </w:r>
      </w:hyperlink>
    </w:p>
  </w:footnote>
  <w:footnote w:id="17">
    <w:p w:rsidR="00C21595" w:rsidRDefault="00C21595" w:rsidP="00C21595">
      <w:pPr>
        <w:pStyle w:val="Testonotaapidipagina"/>
      </w:pPr>
      <w:r>
        <w:rPr>
          <w:rStyle w:val="Rimandonotaapidipagina"/>
        </w:rPr>
        <w:footnoteRef/>
      </w:r>
      <w:hyperlink r:id="rId16" w:history="1">
        <w:r w:rsidRPr="000D36A7">
          <w:rPr>
            <w:rStyle w:val="Collegamentoipertestuale"/>
          </w:rPr>
          <w:t>http://www.decc.gov.uk/en/content/cms/meeting_energy/renewable_ener/feedin_tariff/feedin_tariff.aspx</w:t>
        </w:r>
      </w:hyperlink>
    </w:p>
  </w:footnote>
  <w:footnote w:id="18">
    <w:p w:rsidR="00306650" w:rsidRDefault="00306650" w:rsidP="00306650">
      <w:pPr>
        <w:pStyle w:val="Testonotaapidipagina"/>
      </w:pPr>
      <w:r>
        <w:rPr>
          <w:rStyle w:val="Rimandonotaapidipagina"/>
        </w:rPr>
        <w:footnoteRef/>
      </w:r>
      <w:hyperlink r:id="rId17" w:history="1">
        <w:r w:rsidRPr="00F57ECC">
          <w:rPr>
            <w:rStyle w:val="Collegamentoipertestuale"/>
          </w:rPr>
          <w:t>https://www.ofgem.gov.uk/ofgem-publications/58855/fit-generator-guidance.pdf</w:t>
        </w:r>
      </w:hyperlink>
    </w:p>
  </w:footnote>
  <w:footnote w:id="19">
    <w:p w:rsidR="00A47053" w:rsidRDefault="00A47053" w:rsidP="00C21595">
      <w:pPr>
        <w:pStyle w:val="Testonotaapidipagina"/>
      </w:pPr>
      <w:r>
        <w:rPr>
          <w:rStyle w:val="Rimandonotaapidipagina"/>
        </w:rPr>
        <w:footnoteRef/>
      </w:r>
      <w:hyperlink r:id="rId18" w:history="1">
        <w:r w:rsidRPr="00AF5653">
          <w:rPr>
            <w:rStyle w:val="Collegamentoipertestuale"/>
          </w:rPr>
          <w:t>https://www.gov.uk/government/uploads/system/uploads/attachment_data/file/48041/1387-renewable-heat-incentive.pdf</w:t>
        </w:r>
      </w:hyperlink>
    </w:p>
  </w:footnote>
  <w:footnote w:id="20">
    <w:p w:rsidR="00A47053" w:rsidRDefault="00A47053" w:rsidP="002E2BB2">
      <w:pPr>
        <w:pStyle w:val="Testonotaapidipagina"/>
      </w:pPr>
      <w:r>
        <w:rPr>
          <w:rStyle w:val="Rimandonotaapidipagina"/>
        </w:rPr>
        <w:footnoteRef/>
      </w:r>
      <w:hyperlink r:id="rId19" w:history="1">
        <w:r w:rsidRPr="00F57ECC">
          <w:rPr>
            <w:rStyle w:val="Collegamentoipertestuale"/>
          </w:rPr>
          <w:t>https://www.ofgem.gov.uk/ofgem-publications/83036/rhiguidancedocumentvolonesept2013edits-consultationver.pdf</w:t>
        </w:r>
      </w:hyperlink>
    </w:p>
  </w:footnote>
  <w:footnote w:id="21">
    <w:p w:rsidR="00A47053" w:rsidRDefault="00A47053" w:rsidP="002E2BB2">
      <w:pPr>
        <w:pStyle w:val="Testonotaapidipagina"/>
      </w:pPr>
      <w:r>
        <w:rPr>
          <w:rStyle w:val="Rimandonotaapidipagina"/>
        </w:rPr>
        <w:footnoteRef/>
      </w:r>
      <w:hyperlink r:id="rId20" w:history="1">
        <w:r w:rsidRPr="00F57ECC">
          <w:rPr>
            <w:rStyle w:val="Collegamentoipertestuale"/>
          </w:rPr>
          <w:t>https://www.ofgem.gov.uk/ofgem-publications/83034/rhiguidancedocumentvoltwosept2013edits-consultationver.pdf</w:t>
        </w:r>
      </w:hyperlink>
    </w:p>
  </w:footnote>
  <w:footnote w:id="22">
    <w:p w:rsidR="00085524" w:rsidRDefault="00085524">
      <w:pPr>
        <w:pStyle w:val="Testonotaapidipagina"/>
      </w:pPr>
      <w:r>
        <w:rPr>
          <w:rStyle w:val="Rimandonotaapidipagina"/>
        </w:rPr>
        <w:footnoteRef/>
      </w:r>
      <w:hyperlink r:id="rId21" w:history="1">
        <w:r w:rsidRPr="00576FD8">
          <w:rPr>
            <w:rStyle w:val="Collegamentoipertestuale"/>
          </w:rPr>
          <w:t>https://www.ofgem.gov.uk/publications-and-updates/guidance-volume-one-two-and-fuel-measurement-and-sampling-guidance</w:t>
        </w:r>
      </w:hyperlink>
    </w:p>
  </w:footnote>
  <w:footnote w:id="23">
    <w:p w:rsidR="004E5539" w:rsidRDefault="004E5539" w:rsidP="004E5539">
      <w:pPr>
        <w:spacing w:after="120" w:line="240" w:lineRule="auto"/>
      </w:pPr>
      <w:r>
        <w:rPr>
          <w:rStyle w:val="Rimandonotaapidipagina"/>
        </w:rPr>
        <w:footnoteRef/>
      </w:r>
      <w:r w:rsidRPr="006B6390">
        <w:t>Tier 1 incentives are given. Draft RHI guidance published in Sept. 2013 proposes a tier 1 rate for the first 1,314 hours of heat production in a year, after which rates switch to Tier 2</w:t>
      </w:r>
      <w:r>
        <w:t>.</w:t>
      </w:r>
    </w:p>
  </w:footnote>
  <w:footnote w:id="24">
    <w:p w:rsidR="00A47053" w:rsidRDefault="00A47053" w:rsidP="00C21595">
      <w:pPr>
        <w:pStyle w:val="Testonotaapidipagina"/>
      </w:pPr>
      <w:r>
        <w:rPr>
          <w:rStyle w:val="Rimandonotaapidipagina"/>
        </w:rPr>
        <w:footnoteRef/>
      </w:r>
      <w:hyperlink r:id="rId22" w:history="1">
        <w:r w:rsidRPr="000D36A7">
          <w:rPr>
            <w:rStyle w:val="Collegamentoipertestuale"/>
          </w:rPr>
          <w:t>http://www.ofgem.gov.uk/Sustainability/Environment/REGOs/Pages/REGOs.aspx</w:t>
        </w:r>
      </w:hyperlink>
    </w:p>
  </w:footnote>
  <w:footnote w:id="25">
    <w:p w:rsidR="00A47053" w:rsidRDefault="00A47053" w:rsidP="00C21595">
      <w:pPr>
        <w:pStyle w:val="Testonotaapidipagina"/>
      </w:pPr>
      <w:r>
        <w:rPr>
          <w:rStyle w:val="Rimandonotaapidipagina"/>
        </w:rPr>
        <w:footnoteRef/>
      </w:r>
      <w:hyperlink r:id="rId23" w:history="1">
        <w:r w:rsidRPr="000D36A7">
          <w:rPr>
            <w:rStyle w:val="Collegamentoipertestuale"/>
          </w:rPr>
          <w:t>http://www.naturalengland.org.uk/ourwork/farming/funding/ecs/</w:t>
        </w:r>
      </w:hyperlink>
    </w:p>
  </w:footnote>
  <w:footnote w:id="26">
    <w:p w:rsidR="00F51EA3" w:rsidRDefault="00F51EA3" w:rsidP="00F51EA3">
      <w:pPr>
        <w:pStyle w:val="Testonotaapidipagina"/>
      </w:pPr>
      <w:r>
        <w:rPr>
          <w:rStyle w:val="Rimandonotaapidipagina"/>
        </w:rPr>
        <w:footnoteRef/>
      </w:r>
      <w:hyperlink r:id="rId24" w:history="1">
        <w:r w:rsidRPr="000D36A7">
          <w:rPr>
            <w:rStyle w:val="Collegamentoipertestuale"/>
          </w:rPr>
          <w:t>http://www.dft.gov.uk/topics/sustainable/biofuels/rtfo/</w:t>
        </w:r>
      </w:hyperlink>
    </w:p>
  </w:footnote>
  <w:footnote w:id="27">
    <w:p w:rsidR="00E32C76" w:rsidRDefault="00E32C76">
      <w:pPr>
        <w:pStyle w:val="Testonotaapidipagina"/>
      </w:pPr>
      <w:r>
        <w:rPr>
          <w:rStyle w:val="Rimandonotaapidipagina"/>
        </w:rPr>
        <w:footnoteRef/>
      </w:r>
      <w:hyperlink r:id="rId25" w:anchor="rtfo" w:history="1">
        <w:r w:rsidRPr="00576FD8">
          <w:rPr>
            <w:rStyle w:val="Collegamentoipertestuale"/>
          </w:rPr>
          <w:t>https://www.nfpas-auctions.co.uk/etoc/news.html#rtfo</w:t>
        </w:r>
      </w:hyperlink>
    </w:p>
  </w:footnote>
  <w:footnote w:id="28">
    <w:p w:rsidR="00AD61A2" w:rsidRDefault="00AD61A2">
      <w:pPr>
        <w:pStyle w:val="Testonotaapidipagina"/>
      </w:pPr>
      <w:r>
        <w:rPr>
          <w:rStyle w:val="Rimandonotaapidipagina"/>
        </w:rPr>
        <w:footnoteRef/>
      </w:r>
      <w:hyperlink r:id="rId26" w:history="1">
        <w:r w:rsidRPr="00576FD8">
          <w:rPr>
            <w:rStyle w:val="Collegamentoipertestuale"/>
          </w:rPr>
          <w:t>https://www.gov.uk/government/uploads/system/uploads/attachment_data/file/301079/part-2-c-and-s-guidance-yr7.pdf</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150AFD"/>
    <w:multiLevelType w:val="hybridMultilevel"/>
    <w:tmpl w:val="064A8D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8C4385"/>
    <w:multiLevelType w:val="multilevel"/>
    <w:tmpl w:val="1A825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507768"/>
    <w:multiLevelType w:val="hybridMultilevel"/>
    <w:tmpl w:val="E32CCF00"/>
    <w:lvl w:ilvl="0" w:tplc="F852F3A0">
      <w:numFmt w:val="bullet"/>
      <w:lvlText w:val="-"/>
      <w:lvlJc w:val="left"/>
      <w:pPr>
        <w:ind w:left="720" w:hanging="360"/>
      </w:pPr>
      <w:rPr>
        <w:rFonts w:ascii="Lao UI" w:eastAsiaTheme="minorEastAsia" w:hAnsi="Lao UI" w:cs="Lao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F7109E"/>
    <w:multiLevelType w:val="multilevel"/>
    <w:tmpl w:val="5266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2236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30E3654"/>
    <w:multiLevelType w:val="hybridMultilevel"/>
    <w:tmpl w:val="CFEABA26"/>
    <w:lvl w:ilvl="0" w:tplc="645CAF34">
      <w:start w:val="4"/>
      <w:numFmt w:val="bullet"/>
      <w:lvlText w:val="-"/>
      <w:lvlJc w:val="left"/>
      <w:pPr>
        <w:ind w:left="720" w:hanging="360"/>
      </w:pPr>
      <w:rPr>
        <w:rFonts w:ascii="Lao UI" w:eastAsiaTheme="minorEastAsia" w:hAnsi="Lao UI" w:cs="Lao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E27B8B"/>
    <w:multiLevelType w:val="hybridMultilevel"/>
    <w:tmpl w:val="AF0018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characterSpacingControl w:val="doNotCompress"/>
  <w:footnotePr>
    <w:footnote w:id="0"/>
    <w:footnote w:id="1"/>
  </w:footnotePr>
  <w:endnotePr>
    <w:endnote w:id="0"/>
    <w:endnote w:id="1"/>
  </w:endnotePr>
  <w:compat>
    <w:useFELayout/>
  </w:compat>
  <w:rsids>
    <w:rsidRoot w:val="00C21595"/>
    <w:rsid w:val="00005415"/>
    <w:rsid w:val="0000661B"/>
    <w:rsid w:val="00006D60"/>
    <w:rsid w:val="000109AE"/>
    <w:rsid w:val="00021AA9"/>
    <w:rsid w:val="0003013D"/>
    <w:rsid w:val="000319F6"/>
    <w:rsid w:val="00035335"/>
    <w:rsid w:val="00035F86"/>
    <w:rsid w:val="000511B6"/>
    <w:rsid w:val="00051ADD"/>
    <w:rsid w:val="00055676"/>
    <w:rsid w:val="00057DBF"/>
    <w:rsid w:val="00061ED4"/>
    <w:rsid w:val="00072A60"/>
    <w:rsid w:val="000731B9"/>
    <w:rsid w:val="0007366A"/>
    <w:rsid w:val="00082122"/>
    <w:rsid w:val="00085524"/>
    <w:rsid w:val="0008724F"/>
    <w:rsid w:val="0009050F"/>
    <w:rsid w:val="00092165"/>
    <w:rsid w:val="00093882"/>
    <w:rsid w:val="000A4D49"/>
    <w:rsid w:val="000A6C27"/>
    <w:rsid w:val="000A7751"/>
    <w:rsid w:val="000A7B14"/>
    <w:rsid w:val="000B107C"/>
    <w:rsid w:val="000C4409"/>
    <w:rsid w:val="000D3BF2"/>
    <w:rsid w:val="000D548C"/>
    <w:rsid w:val="000D5BF4"/>
    <w:rsid w:val="000D751F"/>
    <w:rsid w:val="000F3C91"/>
    <w:rsid w:val="000F4C22"/>
    <w:rsid w:val="000F5E29"/>
    <w:rsid w:val="000F6096"/>
    <w:rsid w:val="000F6E85"/>
    <w:rsid w:val="001006E4"/>
    <w:rsid w:val="00101D92"/>
    <w:rsid w:val="0010390D"/>
    <w:rsid w:val="001066B9"/>
    <w:rsid w:val="00111B0F"/>
    <w:rsid w:val="0011676F"/>
    <w:rsid w:val="001168DD"/>
    <w:rsid w:val="00116FA8"/>
    <w:rsid w:val="00121530"/>
    <w:rsid w:val="00132444"/>
    <w:rsid w:val="00140029"/>
    <w:rsid w:val="00140A58"/>
    <w:rsid w:val="001418AD"/>
    <w:rsid w:val="00146DC2"/>
    <w:rsid w:val="001509C3"/>
    <w:rsid w:val="001569F9"/>
    <w:rsid w:val="00163446"/>
    <w:rsid w:val="00164421"/>
    <w:rsid w:val="00165002"/>
    <w:rsid w:val="00170BF5"/>
    <w:rsid w:val="00173A1D"/>
    <w:rsid w:val="00180F3C"/>
    <w:rsid w:val="001857F8"/>
    <w:rsid w:val="001920BE"/>
    <w:rsid w:val="00192408"/>
    <w:rsid w:val="001A1858"/>
    <w:rsid w:val="001A40DC"/>
    <w:rsid w:val="001B0432"/>
    <w:rsid w:val="001B48C9"/>
    <w:rsid w:val="001B4C36"/>
    <w:rsid w:val="001B7CA6"/>
    <w:rsid w:val="001C20D9"/>
    <w:rsid w:val="001E1960"/>
    <w:rsid w:val="001E1ED8"/>
    <w:rsid w:val="001E3ED0"/>
    <w:rsid w:val="001E4E9F"/>
    <w:rsid w:val="001F6D27"/>
    <w:rsid w:val="0020326B"/>
    <w:rsid w:val="002060A8"/>
    <w:rsid w:val="002211F4"/>
    <w:rsid w:val="0022140C"/>
    <w:rsid w:val="0022246F"/>
    <w:rsid w:val="00233B90"/>
    <w:rsid w:val="00235DD0"/>
    <w:rsid w:val="002370B1"/>
    <w:rsid w:val="0024039D"/>
    <w:rsid w:val="00243892"/>
    <w:rsid w:val="00247160"/>
    <w:rsid w:val="0026164B"/>
    <w:rsid w:val="00261A95"/>
    <w:rsid w:val="00265043"/>
    <w:rsid w:val="00267B98"/>
    <w:rsid w:val="00272823"/>
    <w:rsid w:val="00281872"/>
    <w:rsid w:val="00291341"/>
    <w:rsid w:val="00293995"/>
    <w:rsid w:val="00296CF2"/>
    <w:rsid w:val="002A0734"/>
    <w:rsid w:val="002A0B76"/>
    <w:rsid w:val="002A185D"/>
    <w:rsid w:val="002A4CED"/>
    <w:rsid w:val="002A57F3"/>
    <w:rsid w:val="002B6101"/>
    <w:rsid w:val="002C19A9"/>
    <w:rsid w:val="002D05B5"/>
    <w:rsid w:val="002D7745"/>
    <w:rsid w:val="002D77CD"/>
    <w:rsid w:val="002E2BB2"/>
    <w:rsid w:val="002E59D1"/>
    <w:rsid w:val="002E6263"/>
    <w:rsid w:val="002F35E9"/>
    <w:rsid w:val="00306650"/>
    <w:rsid w:val="00311AA8"/>
    <w:rsid w:val="00312CB0"/>
    <w:rsid w:val="0031695E"/>
    <w:rsid w:val="003172B8"/>
    <w:rsid w:val="003202E3"/>
    <w:rsid w:val="00321E5D"/>
    <w:rsid w:val="00322689"/>
    <w:rsid w:val="0032370A"/>
    <w:rsid w:val="00323C15"/>
    <w:rsid w:val="003318AC"/>
    <w:rsid w:val="003319C1"/>
    <w:rsid w:val="003502B3"/>
    <w:rsid w:val="00352BD6"/>
    <w:rsid w:val="0035739A"/>
    <w:rsid w:val="0036152B"/>
    <w:rsid w:val="00361870"/>
    <w:rsid w:val="003624FE"/>
    <w:rsid w:val="003675C4"/>
    <w:rsid w:val="00375002"/>
    <w:rsid w:val="00375465"/>
    <w:rsid w:val="0037565B"/>
    <w:rsid w:val="00375F15"/>
    <w:rsid w:val="00377B29"/>
    <w:rsid w:val="00380C55"/>
    <w:rsid w:val="0038244E"/>
    <w:rsid w:val="00384030"/>
    <w:rsid w:val="00391AC8"/>
    <w:rsid w:val="0039463D"/>
    <w:rsid w:val="00394A53"/>
    <w:rsid w:val="00395E68"/>
    <w:rsid w:val="003969D1"/>
    <w:rsid w:val="00397E44"/>
    <w:rsid w:val="003A0EEE"/>
    <w:rsid w:val="003A405A"/>
    <w:rsid w:val="003A6EC7"/>
    <w:rsid w:val="003B2AB1"/>
    <w:rsid w:val="003B343F"/>
    <w:rsid w:val="003C0FF9"/>
    <w:rsid w:val="003C5D15"/>
    <w:rsid w:val="003D054B"/>
    <w:rsid w:val="003D0621"/>
    <w:rsid w:val="003D42C9"/>
    <w:rsid w:val="003E0D5F"/>
    <w:rsid w:val="003E50CC"/>
    <w:rsid w:val="003E5A8E"/>
    <w:rsid w:val="003F18BC"/>
    <w:rsid w:val="003F21FE"/>
    <w:rsid w:val="003F7C05"/>
    <w:rsid w:val="00400884"/>
    <w:rsid w:val="00402DA0"/>
    <w:rsid w:val="00404879"/>
    <w:rsid w:val="00410B39"/>
    <w:rsid w:val="004148E7"/>
    <w:rsid w:val="004315B0"/>
    <w:rsid w:val="00435DAD"/>
    <w:rsid w:val="00437D53"/>
    <w:rsid w:val="004409E6"/>
    <w:rsid w:val="004523B0"/>
    <w:rsid w:val="0045524E"/>
    <w:rsid w:val="00455F10"/>
    <w:rsid w:val="00456EBE"/>
    <w:rsid w:val="00460C9E"/>
    <w:rsid w:val="004628E9"/>
    <w:rsid w:val="00465F08"/>
    <w:rsid w:val="0046632E"/>
    <w:rsid w:val="004702AE"/>
    <w:rsid w:val="004840C9"/>
    <w:rsid w:val="00492E64"/>
    <w:rsid w:val="004975B0"/>
    <w:rsid w:val="00497753"/>
    <w:rsid w:val="004A345A"/>
    <w:rsid w:val="004A6C68"/>
    <w:rsid w:val="004A724B"/>
    <w:rsid w:val="004A7575"/>
    <w:rsid w:val="004A79C8"/>
    <w:rsid w:val="004B5227"/>
    <w:rsid w:val="004B55AA"/>
    <w:rsid w:val="004B6CE2"/>
    <w:rsid w:val="004B7D7F"/>
    <w:rsid w:val="004C04E5"/>
    <w:rsid w:val="004C2903"/>
    <w:rsid w:val="004C304E"/>
    <w:rsid w:val="004D20EC"/>
    <w:rsid w:val="004D287A"/>
    <w:rsid w:val="004E5539"/>
    <w:rsid w:val="004F1D98"/>
    <w:rsid w:val="004F6D2D"/>
    <w:rsid w:val="004F724A"/>
    <w:rsid w:val="004F7658"/>
    <w:rsid w:val="005001EE"/>
    <w:rsid w:val="00502235"/>
    <w:rsid w:val="005024CB"/>
    <w:rsid w:val="00503BE6"/>
    <w:rsid w:val="005163DE"/>
    <w:rsid w:val="00520500"/>
    <w:rsid w:val="005211C2"/>
    <w:rsid w:val="00522C7C"/>
    <w:rsid w:val="00532493"/>
    <w:rsid w:val="00546114"/>
    <w:rsid w:val="00551E4C"/>
    <w:rsid w:val="005542D4"/>
    <w:rsid w:val="0055471E"/>
    <w:rsid w:val="0056284B"/>
    <w:rsid w:val="00570E88"/>
    <w:rsid w:val="00571897"/>
    <w:rsid w:val="00581B0E"/>
    <w:rsid w:val="00587F1F"/>
    <w:rsid w:val="0059082A"/>
    <w:rsid w:val="00591158"/>
    <w:rsid w:val="00593FDB"/>
    <w:rsid w:val="005963E4"/>
    <w:rsid w:val="005A177D"/>
    <w:rsid w:val="005A1EB8"/>
    <w:rsid w:val="005A438E"/>
    <w:rsid w:val="005B0321"/>
    <w:rsid w:val="005B0614"/>
    <w:rsid w:val="005B1D4C"/>
    <w:rsid w:val="005B2972"/>
    <w:rsid w:val="005B3A57"/>
    <w:rsid w:val="005B4DDA"/>
    <w:rsid w:val="005B5320"/>
    <w:rsid w:val="005B6511"/>
    <w:rsid w:val="005B7961"/>
    <w:rsid w:val="005C29B2"/>
    <w:rsid w:val="005C7F87"/>
    <w:rsid w:val="005E51F2"/>
    <w:rsid w:val="005F0E0D"/>
    <w:rsid w:val="005F2B37"/>
    <w:rsid w:val="005F51EF"/>
    <w:rsid w:val="005F5AEE"/>
    <w:rsid w:val="00600B8D"/>
    <w:rsid w:val="00602644"/>
    <w:rsid w:val="00603176"/>
    <w:rsid w:val="0061121F"/>
    <w:rsid w:val="00622347"/>
    <w:rsid w:val="00625E2C"/>
    <w:rsid w:val="00625FBD"/>
    <w:rsid w:val="00635E0F"/>
    <w:rsid w:val="0063679D"/>
    <w:rsid w:val="00645647"/>
    <w:rsid w:val="006523AC"/>
    <w:rsid w:val="00654EB0"/>
    <w:rsid w:val="00655A5E"/>
    <w:rsid w:val="00656007"/>
    <w:rsid w:val="00656970"/>
    <w:rsid w:val="006622AC"/>
    <w:rsid w:val="006677CE"/>
    <w:rsid w:val="00675FE5"/>
    <w:rsid w:val="00683E25"/>
    <w:rsid w:val="006930C6"/>
    <w:rsid w:val="006A251B"/>
    <w:rsid w:val="006A4887"/>
    <w:rsid w:val="006A58FF"/>
    <w:rsid w:val="006A734D"/>
    <w:rsid w:val="006B198E"/>
    <w:rsid w:val="006B314A"/>
    <w:rsid w:val="006B49FD"/>
    <w:rsid w:val="006B612C"/>
    <w:rsid w:val="006B6390"/>
    <w:rsid w:val="006B7200"/>
    <w:rsid w:val="006D1FD5"/>
    <w:rsid w:val="006D4331"/>
    <w:rsid w:val="006F0793"/>
    <w:rsid w:val="0071277D"/>
    <w:rsid w:val="00713059"/>
    <w:rsid w:val="007131B7"/>
    <w:rsid w:val="0072041A"/>
    <w:rsid w:val="00725303"/>
    <w:rsid w:val="007261BA"/>
    <w:rsid w:val="00730EDF"/>
    <w:rsid w:val="00731959"/>
    <w:rsid w:val="007331CB"/>
    <w:rsid w:val="00740243"/>
    <w:rsid w:val="0074347A"/>
    <w:rsid w:val="007447EF"/>
    <w:rsid w:val="00745601"/>
    <w:rsid w:val="0074610B"/>
    <w:rsid w:val="007500D0"/>
    <w:rsid w:val="0075532A"/>
    <w:rsid w:val="00755C85"/>
    <w:rsid w:val="0075673C"/>
    <w:rsid w:val="00756C05"/>
    <w:rsid w:val="007652D9"/>
    <w:rsid w:val="0076763A"/>
    <w:rsid w:val="00775E2D"/>
    <w:rsid w:val="0078124A"/>
    <w:rsid w:val="007828ED"/>
    <w:rsid w:val="007869F2"/>
    <w:rsid w:val="007957D6"/>
    <w:rsid w:val="007A1C29"/>
    <w:rsid w:val="007A5662"/>
    <w:rsid w:val="007B18B4"/>
    <w:rsid w:val="007B34F3"/>
    <w:rsid w:val="007B4C7D"/>
    <w:rsid w:val="007B755C"/>
    <w:rsid w:val="007C4225"/>
    <w:rsid w:val="007C49AE"/>
    <w:rsid w:val="007D1020"/>
    <w:rsid w:val="007D1E1C"/>
    <w:rsid w:val="007D5AFF"/>
    <w:rsid w:val="007E063F"/>
    <w:rsid w:val="007E3AA4"/>
    <w:rsid w:val="007F18FC"/>
    <w:rsid w:val="007F294F"/>
    <w:rsid w:val="007F2AC4"/>
    <w:rsid w:val="007F4605"/>
    <w:rsid w:val="007F581B"/>
    <w:rsid w:val="007F732C"/>
    <w:rsid w:val="0080080C"/>
    <w:rsid w:val="00810696"/>
    <w:rsid w:val="00810AB1"/>
    <w:rsid w:val="0081159B"/>
    <w:rsid w:val="0081339D"/>
    <w:rsid w:val="008146D1"/>
    <w:rsid w:val="0081523D"/>
    <w:rsid w:val="008166DD"/>
    <w:rsid w:val="00826928"/>
    <w:rsid w:val="0083189A"/>
    <w:rsid w:val="00837A48"/>
    <w:rsid w:val="00843691"/>
    <w:rsid w:val="00850B9B"/>
    <w:rsid w:val="0085301C"/>
    <w:rsid w:val="0085488E"/>
    <w:rsid w:val="00855499"/>
    <w:rsid w:val="00856D3C"/>
    <w:rsid w:val="008633CC"/>
    <w:rsid w:val="00866146"/>
    <w:rsid w:val="00866D21"/>
    <w:rsid w:val="00867220"/>
    <w:rsid w:val="0087036B"/>
    <w:rsid w:val="0087303F"/>
    <w:rsid w:val="00876364"/>
    <w:rsid w:val="0087673C"/>
    <w:rsid w:val="00876BF4"/>
    <w:rsid w:val="00877659"/>
    <w:rsid w:val="008828CA"/>
    <w:rsid w:val="008907E5"/>
    <w:rsid w:val="008A1F2F"/>
    <w:rsid w:val="008A3609"/>
    <w:rsid w:val="008B64FD"/>
    <w:rsid w:val="008C249D"/>
    <w:rsid w:val="008D0D6F"/>
    <w:rsid w:val="008D1F97"/>
    <w:rsid w:val="008D385D"/>
    <w:rsid w:val="008D444E"/>
    <w:rsid w:val="008D5733"/>
    <w:rsid w:val="008D5D35"/>
    <w:rsid w:val="008D7C1E"/>
    <w:rsid w:val="008E6550"/>
    <w:rsid w:val="008E681A"/>
    <w:rsid w:val="008E69A2"/>
    <w:rsid w:val="008F4D52"/>
    <w:rsid w:val="008F72BF"/>
    <w:rsid w:val="00901EDF"/>
    <w:rsid w:val="00903455"/>
    <w:rsid w:val="00905295"/>
    <w:rsid w:val="00905AFA"/>
    <w:rsid w:val="00905C28"/>
    <w:rsid w:val="00910580"/>
    <w:rsid w:val="009219D8"/>
    <w:rsid w:val="009241AE"/>
    <w:rsid w:val="00931421"/>
    <w:rsid w:val="009327CB"/>
    <w:rsid w:val="00934AB8"/>
    <w:rsid w:val="00940C4F"/>
    <w:rsid w:val="00944CCC"/>
    <w:rsid w:val="00946F36"/>
    <w:rsid w:val="009511EA"/>
    <w:rsid w:val="009527A7"/>
    <w:rsid w:val="00955970"/>
    <w:rsid w:val="00956B27"/>
    <w:rsid w:val="00966006"/>
    <w:rsid w:val="00981ACE"/>
    <w:rsid w:val="00983810"/>
    <w:rsid w:val="00984EC6"/>
    <w:rsid w:val="00991058"/>
    <w:rsid w:val="00993494"/>
    <w:rsid w:val="00997BB4"/>
    <w:rsid w:val="009A7F22"/>
    <w:rsid w:val="009A7FF9"/>
    <w:rsid w:val="009C3F94"/>
    <w:rsid w:val="009C7A03"/>
    <w:rsid w:val="009D5E42"/>
    <w:rsid w:val="009E42FA"/>
    <w:rsid w:val="009E4F72"/>
    <w:rsid w:val="009E52A8"/>
    <w:rsid w:val="009F2289"/>
    <w:rsid w:val="009F3806"/>
    <w:rsid w:val="009F5051"/>
    <w:rsid w:val="009F719B"/>
    <w:rsid w:val="00A11984"/>
    <w:rsid w:val="00A154B2"/>
    <w:rsid w:val="00A165DA"/>
    <w:rsid w:val="00A2010E"/>
    <w:rsid w:val="00A24B8E"/>
    <w:rsid w:val="00A26644"/>
    <w:rsid w:val="00A26E01"/>
    <w:rsid w:val="00A30B79"/>
    <w:rsid w:val="00A328B9"/>
    <w:rsid w:val="00A34DD0"/>
    <w:rsid w:val="00A4039D"/>
    <w:rsid w:val="00A41D87"/>
    <w:rsid w:val="00A42473"/>
    <w:rsid w:val="00A44824"/>
    <w:rsid w:val="00A47053"/>
    <w:rsid w:val="00A5026C"/>
    <w:rsid w:val="00A56679"/>
    <w:rsid w:val="00A640A6"/>
    <w:rsid w:val="00A70699"/>
    <w:rsid w:val="00A75E07"/>
    <w:rsid w:val="00A7647C"/>
    <w:rsid w:val="00A77213"/>
    <w:rsid w:val="00A816EB"/>
    <w:rsid w:val="00A824F3"/>
    <w:rsid w:val="00A82B30"/>
    <w:rsid w:val="00A83F44"/>
    <w:rsid w:val="00A842B1"/>
    <w:rsid w:val="00A908FE"/>
    <w:rsid w:val="00A90F09"/>
    <w:rsid w:val="00A919FB"/>
    <w:rsid w:val="00AA0450"/>
    <w:rsid w:val="00AA44A9"/>
    <w:rsid w:val="00AB0962"/>
    <w:rsid w:val="00AB22A7"/>
    <w:rsid w:val="00AB25F8"/>
    <w:rsid w:val="00AB713E"/>
    <w:rsid w:val="00AC626C"/>
    <w:rsid w:val="00AD01E5"/>
    <w:rsid w:val="00AD61A2"/>
    <w:rsid w:val="00AF0095"/>
    <w:rsid w:val="00AF1594"/>
    <w:rsid w:val="00AF220E"/>
    <w:rsid w:val="00AF5653"/>
    <w:rsid w:val="00B04F36"/>
    <w:rsid w:val="00B23399"/>
    <w:rsid w:val="00B263F5"/>
    <w:rsid w:val="00B26676"/>
    <w:rsid w:val="00B2676A"/>
    <w:rsid w:val="00B27702"/>
    <w:rsid w:val="00B32812"/>
    <w:rsid w:val="00B376BE"/>
    <w:rsid w:val="00B40720"/>
    <w:rsid w:val="00B409C5"/>
    <w:rsid w:val="00B40D07"/>
    <w:rsid w:val="00B41D92"/>
    <w:rsid w:val="00B549D9"/>
    <w:rsid w:val="00B56092"/>
    <w:rsid w:val="00B6186C"/>
    <w:rsid w:val="00B630F5"/>
    <w:rsid w:val="00B640DA"/>
    <w:rsid w:val="00B74FF8"/>
    <w:rsid w:val="00B8104D"/>
    <w:rsid w:val="00B8299B"/>
    <w:rsid w:val="00B9399E"/>
    <w:rsid w:val="00B9538F"/>
    <w:rsid w:val="00BA2BD7"/>
    <w:rsid w:val="00BB17A4"/>
    <w:rsid w:val="00BB6CF9"/>
    <w:rsid w:val="00BC43EB"/>
    <w:rsid w:val="00BD273D"/>
    <w:rsid w:val="00BD35F3"/>
    <w:rsid w:val="00BD360B"/>
    <w:rsid w:val="00BE762F"/>
    <w:rsid w:val="00BF437A"/>
    <w:rsid w:val="00BF5D46"/>
    <w:rsid w:val="00C02D59"/>
    <w:rsid w:val="00C03AE2"/>
    <w:rsid w:val="00C04B23"/>
    <w:rsid w:val="00C04E61"/>
    <w:rsid w:val="00C06E8F"/>
    <w:rsid w:val="00C11DA0"/>
    <w:rsid w:val="00C20166"/>
    <w:rsid w:val="00C2030C"/>
    <w:rsid w:val="00C20F42"/>
    <w:rsid w:val="00C21595"/>
    <w:rsid w:val="00C21FC5"/>
    <w:rsid w:val="00C25237"/>
    <w:rsid w:val="00C42496"/>
    <w:rsid w:val="00C452E5"/>
    <w:rsid w:val="00C478CB"/>
    <w:rsid w:val="00C5138F"/>
    <w:rsid w:val="00C53CAE"/>
    <w:rsid w:val="00C56844"/>
    <w:rsid w:val="00C66A3D"/>
    <w:rsid w:val="00C81FF4"/>
    <w:rsid w:val="00C85C9B"/>
    <w:rsid w:val="00C85EB9"/>
    <w:rsid w:val="00C87E0D"/>
    <w:rsid w:val="00CA0C4B"/>
    <w:rsid w:val="00CA6E49"/>
    <w:rsid w:val="00CB1CB2"/>
    <w:rsid w:val="00CB75F9"/>
    <w:rsid w:val="00CC3CE5"/>
    <w:rsid w:val="00CC5B2B"/>
    <w:rsid w:val="00CC5B42"/>
    <w:rsid w:val="00CD470E"/>
    <w:rsid w:val="00CD48A4"/>
    <w:rsid w:val="00CE0CE2"/>
    <w:rsid w:val="00CE1A1C"/>
    <w:rsid w:val="00CE1B38"/>
    <w:rsid w:val="00CE25AC"/>
    <w:rsid w:val="00CF3008"/>
    <w:rsid w:val="00CF6121"/>
    <w:rsid w:val="00D060B7"/>
    <w:rsid w:val="00D06552"/>
    <w:rsid w:val="00D101AE"/>
    <w:rsid w:val="00D11ADC"/>
    <w:rsid w:val="00D23987"/>
    <w:rsid w:val="00D242E8"/>
    <w:rsid w:val="00D27A07"/>
    <w:rsid w:val="00D27F81"/>
    <w:rsid w:val="00D353BC"/>
    <w:rsid w:val="00D35A17"/>
    <w:rsid w:val="00D40127"/>
    <w:rsid w:val="00D444F8"/>
    <w:rsid w:val="00D47340"/>
    <w:rsid w:val="00D55D20"/>
    <w:rsid w:val="00D55FE7"/>
    <w:rsid w:val="00D57577"/>
    <w:rsid w:val="00D57951"/>
    <w:rsid w:val="00D72AD5"/>
    <w:rsid w:val="00D73110"/>
    <w:rsid w:val="00D86197"/>
    <w:rsid w:val="00D8653E"/>
    <w:rsid w:val="00D87C02"/>
    <w:rsid w:val="00D9012A"/>
    <w:rsid w:val="00D905D1"/>
    <w:rsid w:val="00D937C0"/>
    <w:rsid w:val="00D9683D"/>
    <w:rsid w:val="00D97112"/>
    <w:rsid w:val="00D9721C"/>
    <w:rsid w:val="00DB29A8"/>
    <w:rsid w:val="00DC4161"/>
    <w:rsid w:val="00DC6967"/>
    <w:rsid w:val="00DD0364"/>
    <w:rsid w:val="00DD3A57"/>
    <w:rsid w:val="00DD6557"/>
    <w:rsid w:val="00DE0E31"/>
    <w:rsid w:val="00DE6230"/>
    <w:rsid w:val="00DF0033"/>
    <w:rsid w:val="00DF0E2F"/>
    <w:rsid w:val="00DF12C7"/>
    <w:rsid w:val="00DF5EA1"/>
    <w:rsid w:val="00DF7EDF"/>
    <w:rsid w:val="00E01A74"/>
    <w:rsid w:val="00E03253"/>
    <w:rsid w:val="00E03DCF"/>
    <w:rsid w:val="00E055C4"/>
    <w:rsid w:val="00E07F57"/>
    <w:rsid w:val="00E11877"/>
    <w:rsid w:val="00E1202D"/>
    <w:rsid w:val="00E15075"/>
    <w:rsid w:val="00E16F56"/>
    <w:rsid w:val="00E20ACC"/>
    <w:rsid w:val="00E2362D"/>
    <w:rsid w:val="00E24D01"/>
    <w:rsid w:val="00E27935"/>
    <w:rsid w:val="00E27ADD"/>
    <w:rsid w:val="00E30CCC"/>
    <w:rsid w:val="00E32C76"/>
    <w:rsid w:val="00E358B3"/>
    <w:rsid w:val="00E36547"/>
    <w:rsid w:val="00E42965"/>
    <w:rsid w:val="00E42CC5"/>
    <w:rsid w:val="00E45C47"/>
    <w:rsid w:val="00E46417"/>
    <w:rsid w:val="00E540BC"/>
    <w:rsid w:val="00E541ED"/>
    <w:rsid w:val="00E57305"/>
    <w:rsid w:val="00E57C46"/>
    <w:rsid w:val="00E621BA"/>
    <w:rsid w:val="00E64812"/>
    <w:rsid w:val="00E65C6F"/>
    <w:rsid w:val="00E66A6A"/>
    <w:rsid w:val="00E7294D"/>
    <w:rsid w:val="00E74D98"/>
    <w:rsid w:val="00E74F97"/>
    <w:rsid w:val="00E7722C"/>
    <w:rsid w:val="00E911BC"/>
    <w:rsid w:val="00E9154B"/>
    <w:rsid w:val="00E95468"/>
    <w:rsid w:val="00E97823"/>
    <w:rsid w:val="00EA4581"/>
    <w:rsid w:val="00EB3360"/>
    <w:rsid w:val="00EC123F"/>
    <w:rsid w:val="00EC277C"/>
    <w:rsid w:val="00EC27F0"/>
    <w:rsid w:val="00EC3B3D"/>
    <w:rsid w:val="00EC6A16"/>
    <w:rsid w:val="00ED1771"/>
    <w:rsid w:val="00EE03B8"/>
    <w:rsid w:val="00EE07AA"/>
    <w:rsid w:val="00EE3A15"/>
    <w:rsid w:val="00EE7D29"/>
    <w:rsid w:val="00EF17DA"/>
    <w:rsid w:val="00EF20CC"/>
    <w:rsid w:val="00EF3801"/>
    <w:rsid w:val="00EF4766"/>
    <w:rsid w:val="00F04F80"/>
    <w:rsid w:val="00F2514B"/>
    <w:rsid w:val="00F2783C"/>
    <w:rsid w:val="00F307BB"/>
    <w:rsid w:val="00F35839"/>
    <w:rsid w:val="00F36A56"/>
    <w:rsid w:val="00F42A07"/>
    <w:rsid w:val="00F45BF8"/>
    <w:rsid w:val="00F51EA3"/>
    <w:rsid w:val="00F53055"/>
    <w:rsid w:val="00F54AC6"/>
    <w:rsid w:val="00F620CD"/>
    <w:rsid w:val="00F626BD"/>
    <w:rsid w:val="00F65463"/>
    <w:rsid w:val="00F71EF2"/>
    <w:rsid w:val="00F75D1E"/>
    <w:rsid w:val="00F818CC"/>
    <w:rsid w:val="00F82E2D"/>
    <w:rsid w:val="00F90B50"/>
    <w:rsid w:val="00F937BE"/>
    <w:rsid w:val="00F97B79"/>
    <w:rsid w:val="00FA0AAF"/>
    <w:rsid w:val="00FA60EA"/>
    <w:rsid w:val="00FB0B8E"/>
    <w:rsid w:val="00FB31D4"/>
    <w:rsid w:val="00FB6D8B"/>
    <w:rsid w:val="00FC02C4"/>
    <w:rsid w:val="00FC12CE"/>
    <w:rsid w:val="00FC1A40"/>
    <w:rsid w:val="00FC29EF"/>
    <w:rsid w:val="00FC2D35"/>
    <w:rsid w:val="00FD0495"/>
    <w:rsid w:val="00FD14E8"/>
    <w:rsid w:val="00FD156F"/>
    <w:rsid w:val="00FD3560"/>
    <w:rsid w:val="00FD364B"/>
    <w:rsid w:val="00FD5913"/>
    <w:rsid w:val="00FD63BE"/>
    <w:rsid w:val="00FD7E79"/>
    <w:rsid w:val="00FE4FA2"/>
    <w:rsid w:val="00FE5D92"/>
    <w:rsid w:val="00FE6AD8"/>
    <w:rsid w:val="00FF6C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5A5E"/>
    <w:rPr>
      <w:sz w:val="22"/>
    </w:rPr>
  </w:style>
  <w:style w:type="paragraph" w:styleId="Titolo1">
    <w:name w:val="heading 1"/>
    <w:basedOn w:val="Normale"/>
    <w:next w:val="Normale"/>
    <w:link w:val="Titolo1Carattere"/>
    <w:uiPriority w:val="9"/>
    <w:qFormat/>
    <w:rsid w:val="00725303"/>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725303"/>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unhideWhenUsed/>
    <w:qFormat/>
    <w:rsid w:val="00725303"/>
    <w:pPr>
      <w:spacing w:after="0"/>
      <w:jc w:val="left"/>
      <w:outlineLvl w:val="2"/>
    </w:pPr>
    <w:rPr>
      <w:smallCaps/>
      <w:spacing w:val="5"/>
      <w:sz w:val="24"/>
      <w:szCs w:val="24"/>
    </w:rPr>
  </w:style>
  <w:style w:type="paragraph" w:styleId="Titolo4">
    <w:name w:val="heading 4"/>
    <w:basedOn w:val="Normale"/>
    <w:next w:val="Normale"/>
    <w:link w:val="Titolo4Carattere"/>
    <w:uiPriority w:val="9"/>
    <w:unhideWhenUsed/>
    <w:qFormat/>
    <w:rsid w:val="00725303"/>
    <w:pPr>
      <w:spacing w:before="240" w:after="0"/>
      <w:jc w:val="left"/>
      <w:outlineLvl w:val="3"/>
    </w:pPr>
    <w:rPr>
      <w:smallCaps/>
      <w:spacing w:val="10"/>
      <w:szCs w:val="22"/>
    </w:rPr>
  </w:style>
  <w:style w:type="paragraph" w:styleId="Titolo5">
    <w:name w:val="heading 5"/>
    <w:basedOn w:val="Normale"/>
    <w:next w:val="Normale"/>
    <w:link w:val="Titolo5Carattere"/>
    <w:uiPriority w:val="9"/>
    <w:semiHidden/>
    <w:unhideWhenUsed/>
    <w:qFormat/>
    <w:rsid w:val="00725303"/>
    <w:pPr>
      <w:spacing w:before="200" w:after="0"/>
      <w:jc w:val="left"/>
      <w:outlineLvl w:val="4"/>
    </w:pPr>
    <w:rPr>
      <w:smallCaps/>
      <w:color w:val="943634" w:themeColor="accent2" w:themeShade="BF"/>
      <w:spacing w:val="10"/>
      <w:szCs w:val="26"/>
    </w:rPr>
  </w:style>
  <w:style w:type="paragraph" w:styleId="Titolo6">
    <w:name w:val="heading 6"/>
    <w:basedOn w:val="Normale"/>
    <w:next w:val="Normale"/>
    <w:link w:val="Titolo6Carattere"/>
    <w:uiPriority w:val="9"/>
    <w:semiHidden/>
    <w:unhideWhenUsed/>
    <w:qFormat/>
    <w:rsid w:val="00725303"/>
    <w:pPr>
      <w:spacing w:after="0"/>
      <w:jc w:val="left"/>
      <w:outlineLvl w:val="5"/>
    </w:pPr>
    <w:rPr>
      <w:smallCaps/>
      <w:color w:val="C0504D" w:themeColor="accent2"/>
      <w:spacing w:val="5"/>
    </w:rPr>
  </w:style>
  <w:style w:type="paragraph" w:styleId="Titolo7">
    <w:name w:val="heading 7"/>
    <w:basedOn w:val="Normale"/>
    <w:next w:val="Normale"/>
    <w:link w:val="Titolo7Carattere"/>
    <w:uiPriority w:val="9"/>
    <w:semiHidden/>
    <w:unhideWhenUsed/>
    <w:qFormat/>
    <w:rsid w:val="00725303"/>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725303"/>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725303"/>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215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C21595"/>
    <w:rPr>
      <w:color w:val="0000FF" w:themeColor="hyperlink"/>
      <w:u w:val="single"/>
    </w:rPr>
  </w:style>
  <w:style w:type="paragraph" w:styleId="Testonotaapidipagina">
    <w:name w:val="footnote text"/>
    <w:basedOn w:val="Normale"/>
    <w:link w:val="TestonotaapidipaginaCarattere"/>
    <w:uiPriority w:val="99"/>
    <w:semiHidden/>
    <w:unhideWhenUsed/>
    <w:rsid w:val="00C21595"/>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21595"/>
    <w:rPr>
      <w:sz w:val="20"/>
      <w:szCs w:val="20"/>
    </w:rPr>
  </w:style>
  <w:style w:type="character" w:styleId="Rimandonotaapidipagina">
    <w:name w:val="footnote reference"/>
    <w:basedOn w:val="Carpredefinitoparagrafo"/>
    <w:uiPriority w:val="99"/>
    <w:semiHidden/>
    <w:unhideWhenUsed/>
    <w:rsid w:val="00C21595"/>
    <w:rPr>
      <w:vertAlign w:val="superscript"/>
    </w:rPr>
  </w:style>
  <w:style w:type="character" w:styleId="Collegamentovisitato">
    <w:name w:val="FollowedHyperlink"/>
    <w:basedOn w:val="Carpredefinitoparagrafo"/>
    <w:uiPriority w:val="99"/>
    <w:semiHidden/>
    <w:unhideWhenUsed/>
    <w:rsid w:val="002D77CD"/>
    <w:rPr>
      <w:color w:val="800080" w:themeColor="followedHyperlink"/>
      <w:u w:val="single"/>
    </w:rPr>
  </w:style>
  <w:style w:type="paragraph" w:styleId="Testofumetto">
    <w:name w:val="Balloon Text"/>
    <w:basedOn w:val="Normale"/>
    <w:link w:val="TestofumettoCarattere"/>
    <w:uiPriority w:val="99"/>
    <w:semiHidden/>
    <w:unhideWhenUsed/>
    <w:rsid w:val="002D77C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D77CD"/>
    <w:rPr>
      <w:rFonts w:ascii="Tahoma" w:hAnsi="Tahoma" w:cs="Tahoma"/>
      <w:sz w:val="16"/>
      <w:szCs w:val="16"/>
    </w:rPr>
  </w:style>
  <w:style w:type="paragraph" w:customStyle="1" w:styleId="Default">
    <w:name w:val="Default"/>
    <w:rsid w:val="00D40127"/>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36152B"/>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36152B"/>
  </w:style>
  <w:style w:type="paragraph" w:styleId="Pidipagina">
    <w:name w:val="footer"/>
    <w:basedOn w:val="Normale"/>
    <w:link w:val="PidipaginaCarattere"/>
    <w:uiPriority w:val="99"/>
    <w:unhideWhenUsed/>
    <w:rsid w:val="0036152B"/>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36152B"/>
  </w:style>
  <w:style w:type="paragraph" w:customStyle="1" w:styleId="Pa0">
    <w:name w:val="Pa0"/>
    <w:basedOn w:val="Default"/>
    <w:next w:val="Default"/>
    <w:uiPriority w:val="99"/>
    <w:rsid w:val="006B198E"/>
    <w:pPr>
      <w:spacing w:line="241" w:lineRule="atLeast"/>
    </w:pPr>
    <w:rPr>
      <w:rFonts w:ascii="TimesNewRomanPS" w:hAnsi="TimesNewRomanPS" w:cstheme="minorBidi"/>
      <w:color w:val="auto"/>
    </w:rPr>
  </w:style>
  <w:style w:type="paragraph" w:styleId="NormaleWeb">
    <w:name w:val="Normal (Web)"/>
    <w:basedOn w:val="Normale"/>
    <w:uiPriority w:val="99"/>
    <w:semiHidden/>
    <w:unhideWhenUsed/>
    <w:rsid w:val="00DD03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olo1Carattere">
    <w:name w:val="Titolo 1 Carattere"/>
    <w:basedOn w:val="Carpredefinitoparagrafo"/>
    <w:link w:val="Titolo1"/>
    <w:uiPriority w:val="9"/>
    <w:rsid w:val="00725303"/>
    <w:rPr>
      <w:smallCaps/>
      <w:spacing w:val="5"/>
      <w:sz w:val="32"/>
      <w:szCs w:val="32"/>
    </w:rPr>
  </w:style>
  <w:style w:type="character" w:customStyle="1" w:styleId="Titolo2Carattere">
    <w:name w:val="Titolo 2 Carattere"/>
    <w:basedOn w:val="Carpredefinitoparagrafo"/>
    <w:link w:val="Titolo2"/>
    <w:uiPriority w:val="9"/>
    <w:rsid w:val="00725303"/>
    <w:rPr>
      <w:smallCaps/>
      <w:spacing w:val="5"/>
      <w:sz w:val="28"/>
      <w:szCs w:val="28"/>
    </w:rPr>
  </w:style>
  <w:style w:type="character" w:customStyle="1" w:styleId="Titolo3Carattere">
    <w:name w:val="Titolo 3 Carattere"/>
    <w:basedOn w:val="Carpredefinitoparagrafo"/>
    <w:link w:val="Titolo3"/>
    <w:uiPriority w:val="9"/>
    <w:rsid w:val="00725303"/>
    <w:rPr>
      <w:smallCaps/>
      <w:spacing w:val="5"/>
      <w:sz w:val="24"/>
      <w:szCs w:val="24"/>
    </w:rPr>
  </w:style>
  <w:style w:type="paragraph" w:styleId="Nessunaspaziatura">
    <w:name w:val="No Spacing"/>
    <w:basedOn w:val="Normale"/>
    <w:link w:val="NessunaspaziaturaCarattere"/>
    <w:uiPriority w:val="1"/>
    <w:qFormat/>
    <w:rsid w:val="00725303"/>
    <w:pPr>
      <w:spacing w:after="0" w:line="240" w:lineRule="auto"/>
    </w:pPr>
  </w:style>
  <w:style w:type="table" w:styleId="Sfondochiaro">
    <w:name w:val="Light Shading"/>
    <w:basedOn w:val="Tabellanormale"/>
    <w:uiPriority w:val="60"/>
    <w:rsid w:val="006B639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6B639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chiaro-Colore2">
    <w:name w:val="Light Shading Accent 2"/>
    <w:basedOn w:val="Tabellanormale"/>
    <w:uiPriority w:val="60"/>
    <w:rsid w:val="006B6390"/>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fondochiaro-Colore4">
    <w:name w:val="Light Shading Accent 4"/>
    <w:basedOn w:val="Tabellanormale"/>
    <w:uiPriority w:val="60"/>
    <w:rsid w:val="006B6390"/>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Grigliamedia2">
    <w:name w:val="Medium Grid 2"/>
    <w:basedOn w:val="Tabellanormale"/>
    <w:uiPriority w:val="68"/>
    <w:rsid w:val="006B639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fondomedio1-Colore2">
    <w:name w:val="Medium Shading 1 Accent 2"/>
    <w:basedOn w:val="Tabellanormale"/>
    <w:uiPriority w:val="63"/>
    <w:rsid w:val="006B6390"/>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fondochiaro-Colore5">
    <w:name w:val="Light Shading Accent 5"/>
    <w:basedOn w:val="Tabellanormale"/>
    <w:uiPriority w:val="60"/>
    <w:rsid w:val="006B6390"/>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Elencochiaro-Colore5">
    <w:name w:val="Light List Accent 5"/>
    <w:basedOn w:val="Tabellanormale"/>
    <w:uiPriority w:val="61"/>
    <w:rsid w:val="006B639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Elencochiaro-Colore1">
    <w:name w:val="Light List Accent 1"/>
    <w:basedOn w:val="Tabellanormale"/>
    <w:uiPriority w:val="61"/>
    <w:rsid w:val="006B6390"/>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fondomedio1-Colore3">
    <w:name w:val="Medium Shading 1 Accent 3"/>
    <w:basedOn w:val="Tabellanormale"/>
    <w:uiPriority w:val="63"/>
    <w:rsid w:val="006B639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rsid w:val="006B639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rsid w:val="006B6390"/>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rsid w:val="006B6390"/>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Elencochiaro-Colore2">
    <w:name w:val="Light List Accent 2"/>
    <w:basedOn w:val="Tabellanormale"/>
    <w:uiPriority w:val="61"/>
    <w:rsid w:val="006B6390"/>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olo4Carattere">
    <w:name w:val="Titolo 4 Carattere"/>
    <w:basedOn w:val="Carpredefinitoparagrafo"/>
    <w:link w:val="Titolo4"/>
    <w:uiPriority w:val="9"/>
    <w:rsid w:val="00725303"/>
    <w:rPr>
      <w:smallCaps/>
      <w:spacing w:val="10"/>
      <w:sz w:val="22"/>
      <w:szCs w:val="22"/>
    </w:rPr>
  </w:style>
  <w:style w:type="character" w:styleId="Enfasiintensa">
    <w:name w:val="Intense Emphasis"/>
    <w:uiPriority w:val="21"/>
    <w:qFormat/>
    <w:rsid w:val="00725303"/>
    <w:rPr>
      <w:b/>
      <w:i/>
      <w:color w:val="C0504D" w:themeColor="accent2"/>
      <w:spacing w:val="10"/>
    </w:rPr>
  </w:style>
  <w:style w:type="paragraph" w:styleId="Titolo">
    <w:name w:val="Title"/>
    <w:basedOn w:val="Normale"/>
    <w:next w:val="Normale"/>
    <w:link w:val="TitoloCarattere"/>
    <w:uiPriority w:val="10"/>
    <w:qFormat/>
    <w:rsid w:val="00725303"/>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725303"/>
    <w:rPr>
      <w:smallCaps/>
      <w:sz w:val="48"/>
      <w:szCs w:val="48"/>
    </w:rPr>
  </w:style>
  <w:style w:type="character" w:customStyle="1" w:styleId="Titolo5Carattere">
    <w:name w:val="Titolo 5 Carattere"/>
    <w:basedOn w:val="Carpredefinitoparagrafo"/>
    <w:link w:val="Titolo5"/>
    <w:uiPriority w:val="9"/>
    <w:semiHidden/>
    <w:rsid w:val="00725303"/>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725303"/>
    <w:rPr>
      <w:smallCaps/>
      <w:color w:val="C0504D" w:themeColor="accent2"/>
      <w:spacing w:val="5"/>
      <w:sz w:val="22"/>
    </w:rPr>
  </w:style>
  <w:style w:type="character" w:customStyle="1" w:styleId="Titolo7Carattere">
    <w:name w:val="Titolo 7 Carattere"/>
    <w:basedOn w:val="Carpredefinitoparagrafo"/>
    <w:link w:val="Titolo7"/>
    <w:uiPriority w:val="9"/>
    <w:semiHidden/>
    <w:rsid w:val="00725303"/>
    <w:rPr>
      <w:b/>
      <w:smallCaps/>
      <w:color w:val="C0504D" w:themeColor="accent2"/>
      <w:spacing w:val="10"/>
    </w:rPr>
  </w:style>
  <w:style w:type="character" w:customStyle="1" w:styleId="Titolo8Carattere">
    <w:name w:val="Titolo 8 Carattere"/>
    <w:basedOn w:val="Carpredefinitoparagrafo"/>
    <w:link w:val="Titolo8"/>
    <w:uiPriority w:val="9"/>
    <w:semiHidden/>
    <w:rsid w:val="00725303"/>
    <w:rPr>
      <w:b/>
      <w:i/>
      <w:smallCaps/>
      <w:color w:val="943634" w:themeColor="accent2" w:themeShade="BF"/>
    </w:rPr>
  </w:style>
  <w:style w:type="character" w:customStyle="1" w:styleId="Titolo9Carattere">
    <w:name w:val="Titolo 9 Carattere"/>
    <w:basedOn w:val="Carpredefinitoparagrafo"/>
    <w:link w:val="Titolo9"/>
    <w:uiPriority w:val="9"/>
    <w:semiHidden/>
    <w:rsid w:val="00725303"/>
    <w:rPr>
      <w:b/>
      <w:i/>
      <w:smallCaps/>
      <w:color w:val="622423" w:themeColor="accent2" w:themeShade="7F"/>
    </w:rPr>
  </w:style>
  <w:style w:type="paragraph" w:styleId="Didascalia">
    <w:name w:val="caption"/>
    <w:basedOn w:val="Normale"/>
    <w:next w:val="Normale"/>
    <w:uiPriority w:val="35"/>
    <w:semiHidden/>
    <w:unhideWhenUsed/>
    <w:qFormat/>
    <w:rsid w:val="00725303"/>
    <w:rPr>
      <w:b/>
      <w:bCs/>
      <w:caps/>
      <w:sz w:val="16"/>
      <w:szCs w:val="18"/>
    </w:rPr>
  </w:style>
  <w:style w:type="paragraph" w:styleId="Sottotitolo">
    <w:name w:val="Subtitle"/>
    <w:basedOn w:val="Normale"/>
    <w:next w:val="Normale"/>
    <w:link w:val="SottotitoloCarattere"/>
    <w:uiPriority w:val="11"/>
    <w:qFormat/>
    <w:rsid w:val="00725303"/>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725303"/>
    <w:rPr>
      <w:rFonts w:asciiTheme="majorHAnsi" w:eastAsiaTheme="majorEastAsia" w:hAnsiTheme="majorHAnsi" w:cstheme="majorBidi"/>
      <w:szCs w:val="22"/>
    </w:rPr>
  </w:style>
  <w:style w:type="character" w:styleId="Enfasigrassetto">
    <w:name w:val="Strong"/>
    <w:uiPriority w:val="22"/>
    <w:qFormat/>
    <w:rsid w:val="00725303"/>
    <w:rPr>
      <w:b/>
      <w:color w:val="C0504D" w:themeColor="accent2"/>
    </w:rPr>
  </w:style>
  <w:style w:type="character" w:styleId="Enfasicorsivo">
    <w:name w:val="Emphasis"/>
    <w:uiPriority w:val="20"/>
    <w:qFormat/>
    <w:rsid w:val="00725303"/>
    <w:rPr>
      <w:b/>
      <w:i/>
      <w:spacing w:val="10"/>
    </w:rPr>
  </w:style>
  <w:style w:type="character" w:customStyle="1" w:styleId="NessunaspaziaturaCarattere">
    <w:name w:val="Nessuna spaziatura Carattere"/>
    <w:basedOn w:val="Carpredefinitoparagrafo"/>
    <w:link w:val="Nessunaspaziatura"/>
    <w:uiPriority w:val="1"/>
    <w:rsid w:val="00725303"/>
  </w:style>
  <w:style w:type="paragraph" w:styleId="Paragrafoelenco">
    <w:name w:val="List Paragraph"/>
    <w:basedOn w:val="Normale"/>
    <w:uiPriority w:val="34"/>
    <w:qFormat/>
    <w:rsid w:val="00725303"/>
    <w:pPr>
      <w:ind w:left="720"/>
      <w:contextualSpacing/>
    </w:pPr>
  </w:style>
  <w:style w:type="paragraph" w:styleId="Citazione">
    <w:name w:val="Quote"/>
    <w:basedOn w:val="Normale"/>
    <w:next w:val="Normale"/>
    <w:link w:val="CitazioneCarattere"/>
    <w:uiPriority w:val="29"/>
    <w:qFormat/>
    <w:rsid w:val="00725303"/>
    <w:rPr>
      <w:i/>
    </w:rPr>
  </w:style>
  <w:style w:type="character" w:customStyle="1" w:styleId="CitazioneCarattere">
    <w:name w:val="Citazione Carattere"/>
    <w:basedOn w:val="Carpredefinitoparagrafo"/>
    <w:link w:val="Citazione"/>
    <w:uiPriority w:val="29"/>
    <w:rsid w:val="00725303"/>
    <w:rPr>
      <w:i/>
    </w:rPr>
  </w:style>
  <w:style w:type="paragraph" w:styleId="Citazioneintensa">
    <w:name w:val="Intense Quote"/>
    <w:basedOn w:val="Normale"/>
    <w:next w:val="Normale"/>
    <w:link w:val="CitazioneintensaCarattere"/>
    <w:uiPriority w:val="30"/>
    <w:qFormat/>
    <w:rsid w:val="0072530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725303"/>
    <w:rPr>
      <w:b/>
      <w:i/>
      <w:color w:val="FFFFFF" w:themeColor="background1"/>
      <w:shd w:val="clear" w:color="auto" w:fill="C0504D" w:themeFill="accent2"/>
    </w:rPr>
  </w:style>
  <w:style w:type="character" w:styleId="Enfasidelicata">
    <w:name w:val="Subtle Emphasis"/>
    <w:uiPriority w:val="19"/>
    <w:qFormat/>
    <w:rsid w:val="00725303"/>
    <w:rPr>
      <w:i/>
    </w:rPr>
  </w:style>
  <w:style w:type="character" w:styleId="Riferimentodelicato">
    <w:name w:val="Subtle Reference"/>
    <w:uiPriority w:val="31"/>
    <w:qFormat/>
    <w:rsid w:val="00725303"/>
    <w:rPr>
      <w:b/>
    </w:rPr>
  </w:style>
  <w:style w:type="character" w:styleId="Riferimentointenso">
    <w:name w:val="Intense Reference"/>
    <w:uiPriority w:val="32"/>
    <w:qFormat/>
    <w:rsid w:val="00725303"/>
    <w:rPr>
      <w:b/>
      <w:bCs/>
      <w:smallCaps/>
      <w:spacing w:val="5"/>
      <w:sz w:val="22"/>
      <w:szCs w:val="22"/>
      <w:u w:val="single"/>
    </w:rPr>
  </w:style>
  <w:style w:type="character" w:styleId="Titolodellibro">
    <w:name w:val="Book Title"/>
    <w:uiPriority w:val="33"/>
    <w:qFormat/>
    <w:rsid w:val="00725303"/>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725303"/>
    <w:pPr>
      <w:outlineLvl w:val="9"/>
    </w:pPr>
    <w:rPr>
      <w:lang w:bidi="en-US"/>
    </w:rPr>
  </w:style>
  <w:style w:type="character" w:styleId="Rimandocommento">
    <w:name w:val="annotation reference"/>
    <w:basedOn w:val="Carpredefinitoparagrafo"/>
    <w:uiPriority w:val="99"/>
    <w:semiHidden/>
    <w:unhideWhenUsed/>
    <w:rsid w:val="007A1C29"/>
    <w:rPr>
      <w:sz w:val="16"/>
      <w:szCs w:val="16"/>
    </w:rPr>
  </w:style>
  <w:style w:type="paragraph" w:styleId="Testocommento">
    <w:name w:val="annotation text"/>
    <w:basedOn w:val="Normale"/>
    <w:link w:val="TestocommentoCarattere"/>
    <w:uiPriority w:val="99"/>
    <w:semiHidden/>
    <w:unhideWhenUsed/>
    <w:rsid w:val="007A1C29"/>
    <w:pPr>
      <w:spacing w:line="240" w:lineRule="auto"/>
    </w:pPr>
  </w:style>
  <w:style w:type="character" w:customStyle="1" w:styleId="TestocommentoCarattere">
    <w:name w:val="Testo commento Carattere"/>
    <w:basedOn w:val="Carpredefinitoparagrafo"/>
    <w:link w:val="Testocommento"/>
    <w:uiPriority w:val="99"/>
    <w:semiHidden/>
    <w:rsid w:val="007A1C29"/>
  </w:style>
  <w:style w:type="paragraph" w:styleId="Soggettocommento">
    <w:name w:val="annotation subject"/>
    <w:basedOn w:val="Testocommento"/>
    <w:next w:val="Testocommento"/>
    <w:link w:val="SoggettocommentoCarattere"/>
    <w:uiPriority w:val="99"/>
    <w:semiHidden/>
    <w:unhideWhenUsed/>
    <w:rsid w:val="007A1C29"/>
    <w:rPr>
      <w:b/>
      <w:bCs/>
    </w:rPr>
  </w:style>
  <w:style w:type="character" w:customStyle="1" w:styleId="SoggettocommentoCarattere">
    <w:name w:val="Soggetto commento Carattere"/>
    <w:basedOn w:val="TestocommentoCarattere"/>
    <w:link w:val="Soggettocommento"/>
    <w:uiPriority w:val="99"/>
    <w:semiHidden/>
    <w:rsid w:val="007A1C29"/>
    <w:rPr>
      <w:b/>
      <w:bCs/>
    </w:rPr>
  </w:style>
  <w:style w:type="paragraph" w:styleId="Testonotadichiusura">
    <w:name w:val="endnote text"/>
    <w:basedOn w:val="Normale"/>
    <w:link w:val="TestonotadichiusuraCarattere"/>
    <w:uiPriority w:val="99"/>
    <w:semiHidden/>
    <w:unhideWhenUsed/>
    <w:rsid w:val="004E5539"/>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4E5539"/>
  </w:style>
  <w:style w:type="character" w:styleId="Rimandonotadichiusura">
    <w:name w:val="endnote reference"/>
    <w:basedOn w:val="Carpredefinitoparagrafo"/>
    <w:uiPriority w:val="99"/>
    <w:semiHidden/>
    <w:unhideWhenUsed/>
    <w:rsid w:val="004E553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A5E"/>
    <w:rPr>
      <w:sz w:val="22"/>
    </w:rPr>
  </w:style>
  <w:style w:type="paragraph" w:styleId="Heading1">
    <w:name w:val="heading 1"/>
    <w:basedOn w:val="Normal"/>
    <w:next w:val="Normal"/>
    <w:link w:val="Heading1Char"/>
    <w:uiPriority w:val="9"/>
    <w:qFormat/>
    <w:rsid w:val="00725303"/>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725303"/>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725303"/>
    <w:pPr>
      <w:spacing w:after="0"/>
      <w:jc w:val="left"/>
      <w:outlineLvl w:val="2"/>
    </w:pPr>
    <w:rPr>
      <w:smallCaps/>
      <w:spacing w:val="5"/>
      <w:sz w:val="24"/>
      <w:szCs w:val="24"/>
    </w:rPr>
  </w:style>
  <w:style w:type="paragraph" w:styleId="Heading4">
    <w:name w:val="heading 4"/>
    <w:basedOn w:val="Normal"/>
    <w:next w:val="Normal"/>
    <w:link w:val="Heading4Char"/>
    <w:uiPriority w:val="9"/>
    <w:unhideWhenUsed/>
    <w:qFormat/>
    <w:rsid w:val="00725303"/>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725303"/>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725303"/>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725303"/>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725303"/>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725303"/>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15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1595"/>
    <w:rPr>
      <w:color w:val="0000FF" w:themeColor="hyperlink"/>
      <w:u w:val="single"/>
    </w:rPr>
  </w:style>
  <w:style w:type="paragraph" w:styleId="FootnoteText">
    <w:name w:val="footnote text"/>
    <w:basedOn w:val="Normal"/>
    <w:link w:val="FootnoteTextChar"/>
    <w:uiPriority w:val="99"/>
    <w:semiHidden/>
    <w:unhideWhenUsed/>
    <w:rsid w:val="00C21595"/>
    <w:pPr>
      <w:spacing w:after="0" w:line="240" w:lineRule="auto"/>
    </w:pPr>
  </w:style>
  <w:style w:type="character" w:customStyle="1" w:styleId="FootnoteTextChar">
    <w:name w:val="Footnote Text Char"/>
    <w:basedOn w:val="DefaultParagraphFont"/>
    <w:link w:val="FootnoteText"/>
    <w:uiPriority w:val="99"/>
    <w:semiHidden/>
    <w:rsid w:val="00C21595"/>
    <w:rPr>
      <w:sz w:val="20"/>
      <w:szCs w:val="20"/>
    </w:rPr>
  </w:style>
  <w:style w:type="character" w:styleId="FootnoteReference">
    <w:name w:val="footnote reference"/>
    <w:basedOn w:val="DefaultParagraphFont"/>
    <w:uiPriority w:val="99"/>
    <w:semiHidden/>
    <w:unhideWhenUsed/>
    <w:rsid w:val="00C21595"/>
    <w:rPr>
      <w:vertAlign w:val="superscript"/>
    </w:rPr>
  </w:style>
  <w:style w:type="character" w:styleId="FollowedHyperlink">
    <w:name w:val="FollowedHyperlink"/>
    <w:basedOn w:val="DefaultParagraphFont"/>
    <w:uiPriority w:val="99"/>
    <w:semiHidden/>
    <w:unhideWhenUsed/>
    <w:rsid w:val="002D77CD"/>
    <w:rPr>
      <w:color w:val="800080" w:themeColor="followedHyperlink"/>
      <w:u w:val="single"/>
    </w:rPr>
  </w:style>
  <w:style w:type="paragraph" w:styleId="BalloonText">
    <w:name w:val="Balloon Text"/>
    <w:basedOn w:val="Normal"/>
    <w:link w:val="BalloonTextChar"/>
    <w:uiPriority w:val="99"/>
    <w:semiHidden/>
    <w:unhideWhenUsed/>
    <w:rsid w:val="002D7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7CD"/>
    <w:rPr>
      <w:rFonts w:ascii="Tahoma" w:hAnsi="Tahoma" w:cs="Tahoma"/>
      <w:sz w:val="16"/>
      <w:szCs w:val="16"/>
    </w:rPr>
  </w:style>
  <w:style w:type="paragraph" w:customStyle="1" w:styleId="Default">
    <w:name w:val="Default"/>
    <w:rsid w:val="00D40127"/>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61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52B"/>
  </w:style>
  <w:style w:type="paragraph" w:styleId="Footer">
    <w:name w:val="footer"/>
    <w:basedOn w:val="Normal"/>
    <w:link w:val="FooterChar"/>
    <w:uiPriority w:val="99"/>
    <w:unhideWhenUsed/>
    <w:rsid w:val="00361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52B"/>
  </w:style>
  <w:style w:type="paragraph" w:customStyle="1" w:styleId="Pa0">
    <w:name w:val="Pa0"/>
    <w:basedOn w:val="Default"/>
    <w:next w:val="Default"/>
    <w:uiPriority w:val="99"/>
    <w:rsid w:val="006B198E"/>
    <w:pPr>
      <w:spacing w:line="241" w:lineRule="atLeast"/>
    </w:pPr>
    <w:rPr>
      <w:rFonts w:ascii="TimesNewRomanPS" w:hAnsi="TimesNewRomanPS" w:cstheme="minorBidi"/>
      <w:color w:val="auto"/>
    </w:rPr>
  </w:style>
  <w:style w:type="paragraph" w:styleId="NormalWeb">
    <w:name w:val="Normal (Web)"/>
    <w:basedOn w:val="Normal"/>
    <w:uiPriority w:val="99"/>
    <w:semiHidden/>
    <w:unhideWhenUsed/>
    <w:rsid w:val="00DD03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25303"/>
    <w:rPr>
      <w:smallCaps/>
      <w:spacing w:val="5"/>
      <w:sz w:val="32"/>
      <w:szCs w:val="32"/>
    </w:rPr>
  </w:style>
  <w:style w:type="character" w:customStyle="1" w:styleId="Heading2Char">
    <w:name w:val="Heading 2 Char"/>
    <w:basedOn w:val="DefaultParagraphFont"/>
    <w:link w:val="Heading2"/>
    <w:uiPriority w:val="9"/>
    <w:rsid w:val="00725303"/>
    <w:rPr>
      <w:smallCaps/>
      <w:spacing w:val="5"/>
      <w:sz w:val="28"/>
      <w:szCs w:val="28"/>
    </w:rPr>
  </w:style>
  <w:style w:type="character" w:customStyle="1" w:styleId="Heading3Char">
    <w:name w:val="Heading 3 Char"/>
    <w:basedOn w:val="DefaultParagraphFont"/>
    <w:link w:val="Heading3"/>
    <w:uiPriority w:val="9"/>
    <w:rsid w:val="00725303"/>
    <w:rPr>
      <w:smallCaps/>
      <w:spacing w:val="5"/>
      <w:sz w:val="24"/>
      <w:szCs w:val="24"/>
    </w:rPr>
  </w:style>
  <w:style w:type="paragraph" w:styleId="NoSpacing">
    <w:name w:val="No Spacing"/>
    <w:basedOn w:val="Normal"/>
    <w:link w:val="NoSpacingChar"/>
    <w:uiPriority w:val="1"/>
    <w:qFormat/>
    <w:rsid w:val="00725303"/>
    <w:pPr>
      <w:spacing w:after="0" w:line="240" w:lineRule="auto"/>
    </w:pPr>
  </w:style>
  <w:style w:type="table" w:styleId="LightShading">
    <w:name w:val="Light Shading"/>
    <w:basedOn w:val="TableNormal"/>
    <w:uiPriority w:val="60"/>
    <w:rsid w:val="006B63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6B639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6B639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4">
    <w:name w:val="Light Shading Accent 4"/>
    <w:basedOn w:val="TableNormal"/>
    <w:uiPriority w:val="60"/>
    <w:rsid w:val="006B639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2">
    <w:name w:val="Medium Grid 2"/>
    <w:basedOn w:val="TableNormal"/>
    <w:uiPriority w:val="68"/>
    <w:rsid w:val="006B639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Shading1-Accent2">
    <w:name w:val="Medium Shading 1 Accent 2"/>
    <w:basedOn w:val="TableNormal"/>
    <w:uiPriority w:val="63"/>
    <w:rsid w:val="006B6390"/>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LightShading-Accent5">
    <w:name w:val="Light Shading Accent 5"/>
    <w:basedOn w:val="TableNormal"/>
    <w:uiPriority w:val="60"/>
    <w:rsid w:val="006B639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6B639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1">
    <w:name w:val="Light List Accent 1"/>
    <w:basedOn w:val="TableNormal"/>
    <w:uiPriority w:val="61"/>
    <w:rsid w:val="006B639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3">
    <w:name w:val="Medium Shading 1 Accent 3"/>
    <w:basedOn w:val="TableNormal"/>
    <w:uiPriority w:val="63"/>
    <w:rsid w:val="006B6390"/>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6B639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6B6390"/>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6B6390"/>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List-Accent2">
    <w:name w:val="Light List Accent 2"/>
    <w:basedOn w:val="TableNormal"/>
    <w:uiPriority w:val="61"/>
    <w:rsid w:val="006B639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Heading4Char">
    <w:name w:val="Heading 4 Char"/>
    <w:basedOn w:val="DefaultParagraphFont"/>
    <w:link w:val="Heading4"/>
    <w:uiPriority w:val="9"/>
    <w:rsid w:val="00725303"/>
    <w:rPr>
      <w:smallCaps/>
      <w:spacing w:val="10"/>
      <w:sz w:val="22"/>
      <w:szCs w:val="22"/>
    </w:rPr>
  </w:style>
  <w:style w:type="character" w:styleId="IntenseEmphasis">
    <w:name w:val="Intense Emphasis"/>
    <w:uiPriority w:val="21"/>
    <w:qFormat/>
    <w:rsid w:val="00725303"/>
    <w:rPr>
      <w:b/>
      <w:i/>
      <w:color w:val="C0504D" w:themeColor="accent2"/>
      <w:spacing w:val="10"/>
    </w:rPr>
  </w:style>
  <w:style w:type="paragraph" w:styleId="Title">
    <w:name w:val="Title"/>
    <w:basedOn w:val="Normal"/>
    <w:next w:val="Normal"/>
    <w:link w:val="TitleChar"/>
    <w:uiPriority w:val="10"/>
    <w:qFormat/>
    <w:rsid w:val="00725303"/>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725303"/>
    <w:rPr>
      <w:smallCaps/>
      <w:sz w:val="48"/>
      <w:szCs w:val="48"/>
    </w:rPr>
  </w:style>
  <w:style w:type="character" w:customStyle="1" w:styleId="Heading5Char">
    <w:name w:val="Heading 5 Char"/>
    <w:basedOn w:val="DefaultParagraphFont"/>
    <w:link w:val="Heading5"/>
    <w:uiPriority w:val="9"/>
    <w:semiHidden/>
    <w:rsid w:val="00725303"/>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725303"/>
    <w:rPr>
      <w:smallCaps/>
      <w:color w:val="C0504D" w:themeColor="accent2"/>
      <w:spacing w:val="5"/>
      <w:sz w:val="22"/>
    </w:rPr>
  </w:style>
  <w:style w:type="character" w:customStyle="1" w:styleId="Heading7Char">
    <w:name w:val="Heading 7 Char"/>
    <w:basedOn w:val="DefaultParagraphFont"/>
    <w:link w:val="Heading7"/>
    <w:uiPriority w:val="9"/>
    <w:semiHidden/>
    <w:rsid w:val="00725303"/>
    <w:rPr>
      <w:b/>
      <w:smallCaps/>
      <w:color w:val="C0504D" w:themeColor="accent2"/>
      <w:spacing w:val="10"/>
    </w:rPr>
  </w:style>
  <w:style w:type="character" w:customStyle="1" w:styleId="Heading8Char">
    <w:name w:val="Heading 8 Char"/>
    <w:basedOn w:val="DefaultParagraphFont"/>
    <w:link w:val="Heading8"/>
    <w:uiPriority w:val="9"/>
    <w:semiHidden/>
    <w:rsid w:val="00725303"/>
    <w:rPr>
      <w:b/>
      <w:i/>
      <w:smallCaps/>
      <w:color w:val="943634" w:themeColor="accent2" w:themeShade="BF"/>
    </w:rPr>
  </w:style>
  <w:style w:type="character" w:customStyle="1" w:styleId="Heading9Char">
    <w:name w:val="Heading 9 Char"/>
    <w:basedOn w:val="DefaultParagraphFont"/>
    <w:link w:val="Heading9"/>
    <w:uiPriority w:val="9"/>
    <w:semiHidden/>
    <w:rsid w:val="00725303"/>
    <w:rPr>
      <w:b/>
      <w:i/>
      <w:smallCaps/>
      <w:color w:val="622423" w:themeColor="accent2" w:themeShade="7F"/>
    </w:rPr>
  </w:style>
  <w:style w:type="paragraph" w:styleId="Caption">
    <w:name w:val="caption"/>
    <w:basedOn w:val="Normal"/>
    <w:next w:val="Normal"/>
    <w:uiPriority w:val="35"/>
    <w:semiHidden/>
    <w:unhideWhenUsed/>
    <w:qFormat/>
    <w:rsid w:val="00725303"/>
    <w:rPr>
      <w:b/>
      <w:bCs/>
      <w:caps/>
      <w:sz w:val="16"/>
      <w:szCs w:val="18"/>
    </w:rPr>
  </w:style>
  <w:style w:type="paragraph" w:styleId="Subtitle">
    <w:name w:val="Subtitle"/>
    <w:basedOn w:val="Normal"/>
    <w:next w:val="Normal"/>
    <w:link w:val="SubtitleChar"/>
    <w:uiPriority w:val="11"/>
    <w:qFormat/>
    <w:rsid w:val="00725303"/>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725303"/>
    <w:rPr>
      <w:rFonts w:asciiTheme="majorHAnsi" w:eastAsiaTheme="majorEastAsia" w:hAnsiTheme="majorHAnsi" w:cstheme="majorBidi"/>
      <w:szCs w:val="22"/>
    </w:rPr>
  </w:style>
  <w:style w:type="character" w:styleId="Strong">
    <w:name w:val="Strong"/>
    <w:uiPriority w:val="22"/>
    <w:qFormat/>
    <w:rsid w:val="00725303"/>
    <w:rPr>
      <w:b/>
      <w:color w:val="C0504D" w:themeColor="accent2"/>
    </w:rPr>
  </w:style>
  <w:style w:type="character" w:styleId="Emphasis">
    <w:name w:val="Emphasis"/>
    <w:uiPriority w:val="20"/>
    <w:qFormat/>
    <w:rsid w:val="00725303"/>
    <w:rPr>
      <w:b/>
      <w:i/>
      <w:spacing w:val="10"/>
    </w:rPr>
  </w:style>
  <w:style w:type="character" w:customStyle="1" w:styleId="NoSpacingChar">
    <w:name w:val="No Spacing Char"/>
    <w:basedOn w:val="DefaultParagraphFont"/>
    <w:link w:val="NoSpacing"/>
    <w:uiPriority w:val="1"/>
    <w:rsid w:val="00725303"/>
  </w:style>
  <w:style w:type="paragraph" w:styleId="ListParagraph">
    <w:name w:val="List Paragraph"/>
    <w:basedOn w:val="Normal"/>
    <w:uiPriority w:val="34"/>
    <w:qFormat/>
    <w:rsid w:val="00725303"/>
    <w:pPr>
      <w:ind w:left="720"/>
      <w:contextualSpacing/>
    </w:pPr>
  </w:style>
  <w:style w:type="paragraph" w:styleId="Quote">
    <w:name w:val="Quote"/>
    <w:basedOn w:val="Normal"/>
    <w:next w:val="Normal"/>
    <w:link w:val="QuoteChar"/>
    <w:uiPriority w:val="29"/>
    <w:qFormat/>
    <w:rsid w:val="00725303"/>
    <w:rPr>
      <w:i/>
    </w:rPr>
  </w:style>
  <w:style w:type="character" w:customStyle="1" w:styleId="QuoteChar">
    <w:name w:val="Quote Char"/>
    <w:basedOn w:val="DefaultParagraphFont"/>
    <w:link w:val="Quote"/>
    <w:uiPriority w:val="29"/>
    <w:rsid w:val="00725303"/>
    <w:rPr>
      <w:i/>
    </w:rPr>
  </w:style>
  <w:style w:type="paragraph" w:styleId="IntenseQuote">
    <w:name w:val="Intense Quote"/>
    <w:basedOn w:val="Normal"/>
    <w:next w:val="Normal"/>
    <w:link w:val="IntenseQuoteChar"/>
    <w:uiPriority w:val="30"/>
    <w:qFormat/>
    <w:rsid w:val="0072530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725303"/>
    <w:rPr>
      <w:b/>
      <w:i/>
      <w:color w:val="FFFFFF" w:themeColor="background1"/>
      <w:shd w:val="clear" w:color="auto" w:fill="C0504D" w:themeFill="accent2"/>
    </w:rPr>
  </w:style>
  <w:style w:type="character" w:styleId="SubtleEmphasis">
    <w:name w:val="Subtle Emphasis"/>
    <w:uiPriority w:val="19"/>
    <w:qFormat/>
    <w:rsid w:val="00725303"/>
    <w:rPr>
      <w:i/>
    </w:rPr>
  </w:style>
  <w:style w:type="character" w:styleId="SubtleReference">
    <w:name w:val="Subtle Reference"/>
    <w:uiPriority w:val="31"/>
    <w:qFormat/>
    <w:rsid w:val="00725303"/>
    <w:rPr>
      <w:b/>
    </w:rPr>
  </w:style>
  <w:style w:type="character" w:styleId="IntenseReference">
    <w:name w:val="Intense Reference"/>
    <w:uiPriority w:val="32"/>
    <w:qFormat/>
    <w:rsid w:val="00725303"/>
    <w:rPr>
      <w:b/>
      <w:bCs/>
      <w:smallCaps/>
      <w:spacing w:val="5"/>
      <w:sz w:val="22"/>
      <w:szCs w:val="22"/>
      <w:u w:val="single"/>
    </w:rPr>
  </w:style>
  <w:style w:type="character" w:styleId="BookTitle">
    <w:name w:val="Book Title"/>
    <w:uiPriority w:val="33"/>
    <w:qFormat/>
    <w:rsid w:val="00725303"/>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25303"/>
    <w:pPr>
      <w:outlineLvl w:val="9"/>
    </w:pPr>
    <w:rPr>
      <w:lang w:bidi="en-US"/>
    </w:rPr>
  </w:style>
  <w:style w:type="character" w:styleId="CommentReference">
    <w:name w:val="annotation reference"/>
    <w:basedOn w:val="DefaultParagraphFont"/>
    <w:uiPriority w:val="99"/>
    <w:semiHidden/>
    <w:unhideWhenUsed/>
    <w:rsid w:val="007A1C29"/>
    <w:rPr>
      <w:sz w:val="16"/>
      <w:szCs w:val="16"/>
    </w:rPr>
  </w:style>
  <w:style w:type="paragraph" w:styleId="CommentText">
    <w:name w:val="annotation text"/>
    <w:basedOn w:val="Normal"/>
    <w:link w:val="CommentTextChar"/>
    <w:uiPriority w:val="99"/>
    <w:semiHidden/>
    <w:unhideWhenUsed/>
    <w:rsid w:val="007A1C29"/>
    <w:pPr>
      <w:spacing w:line="240" w:lineRule="auto"/>
    </w:pPr>
  </w:style>
  <w:style w:type="character" w:customStyle="1" w:styleId="CommentTextChar">
    <w:name w:val="Comment Text Char"/>
    <w:basedOn w:val="DefaultParagraphFont"/>
    <w:link w:val="CommentText"/>
    <w:uiPriority w:val="99"/>
    <w:semiHidden/>
    <w:rsid w:val="007A1C29"/>
  </w:style>
  <w:style w:type="paragraph" w:styleId="CommentSubject">
    <w:name w:val="annotation subject"/>
    <w:basedOn w:val="CommentText"/>
    <w:next w:val="CommentText"/>
    <w:link w:val="CommentSubjectChar"/>
    <w:uiPriority w:val="99"/>
    <w:semiHidden/>
    <w:unhideWhenUsed/>
    <w:rsid w:val="007A1C29"/>
    <w:rPr>
      <w:b/>
      <w:bCs/>
    </w:rPr>
  </w:style>
  <w:style w:type="character" w:customStyle="1" w:styleId="CommentSubjectChar">
    <w:name w:val="Comment Subject Char"/>
    <w:basedOn w:val="CommentTextChar"/>
    <w:link w:val="CommentSubject"/>
    <w:uiPriority w:val="99"/>
    <w:semiHidden/>
    <w:rsid w:val="007A1C29"/>
    <w:rPr>
      <w:b/>
      <w:bCs/>
    </w:rPr>
  </w:style>
  <w:style w:type="paragraph" w:styleId="EndnoteText">
    <w:name w:val="endnote text"/>
    <w:basedOn w:val="Normal"/>
    <w:link w:val="EndnoteTextChar"/>
    <w:uiPriority w:val="99"/>
    <w:semiHidden/>
    <w:unhideWhenUsed/>
    <w:rsid w:val="004E5539"/>
    <w:pPr>
      <w:spacing w:after="0" w:line="240" w:lineRule="auto"/>
    </w:pPr>
  </w:style>
  <w:style w:type="character" w:customStyle="1" w:styleId="EndnoteTextChar">
    <w:name w:val="Endnote Text Char"/>
    <w:basedOn w:val="DefaultParagraphFont"/>
    <w:link w:val="EndnoteText"/>
    <w:uiPriority w:val="99"/>
    <w:semiHidden/>
    <w:rsid w:val="004E5539"/>
  </w:style>
  <w:style w:type="character" w:styleId="EndnoteReference">
    <w:name w:val="endnote reference"/>
    <w:basedOn w:val="DefaultParagraphFont"/>
    <w:uiPriority w:val="99"/>
    <w:semiHidden/>
    <w:unhideWhenUsed/>
    <w:rsid w:val="004E5539"/>
    <w:rPr>
      <w:vertAlign w:val="superscript"/>
    </w:rPr>
  </w:style>
</w:styles>
</file>

<file path=word/webSettings.xml><?xml version="1.0" encoding="utf-8"?>
<w:webSettings xmlns:r="http://schemas.openxmlformats.org/officeDocument/2006/relationships" xmlns:w="http://schemas.openxmlformats.org/wordprocessingml/2006/main">
  <w:divs>
    <w:div w:id="163513552">
      <w:bodyDiv w:val="1"/>
      <w:marLeft w:val="0"/>
      <w:marRight w:val="0"/>
      <w:marTop w:val="0"/>
      <w:marBottom w:val="0"/>
      <w:divBdr>
        <w:top w:val="none" w:sz="0" w:space="0" w:color="auto"/>
        <w:left w:val="none" w:sz="0" w:space="0" w:color="auto"/>
        <w:bottom w:val="none" w:sz="0" w:space="0" w:color="auto"/>
        <w:right w:val="none" w:sz="0" w:space="0" w:color="auto"/>
      </w:divBdr>
    </w:div>
    <w:div w:id="185414015">
      <w:bodyDiv w:val="1"/>
      <w:marLeft w:val="0"/>
      <w:marRight w:val="0"/>
      <w:marTop w:val="0"/>
      <w:marBottom w:val="0"/>
      <w:divBdr>
        <w:top w:val="none" w:sz="0" w:space="0" w:color="auto"/>
        <w:left w:val="none" w:sz="0" w:space="0" w:color="auto"/>
        <w:bottom w:val="none" w:sz="0" w:space="0" w:color="auto"/>
        <w:right w:val="none" w:sz="0" w:space="0" w:color="auto"/>
      </w:divBdr>
    </w:div>
    <w:div w:id="353002223">
      <w:bodyDiv w:val="1"/>
      <w:marLeft w:val="0"/>
      <w:marRight w:val="0"/>
      <w:marTop w:val="0"/>
      <w:marBottom w:val="0"/>
      <w:divBdr>
        <w:top w:val="none" w:sz="0" w:space="0" w:color="auto"/>
        <w:left w:val="none" w:sz="0" w:space="0" w:color="auto"/>
        <w:bottom w:val="none" w:sz="0" w:space="0" w:color="auto"/>
        <w:right w:val="none" w:sz="0" w:space="0" w:color="auto"/>
      </w:divBdr>
    </w:div>
    <w:div w:id="366106586">
      <w:bodyDiv w:val="1"/>
      <w:marLeft w:val="0"/>
      <w:marRight w:val="0"/>
      <w:marTop w:val="0"/>
      <w:marBottom w:val="0"/>
      <w:divBdr>
        <w:top w:val="none" w:sz="0" w:space="0" w:color="auto"/>
        <w:left w:val="none" w:sz="0" w:space="0" w:color="auto"/>
        <w:bottom w:val="none" w:sz="0" w:space="0" w:color="auto"/>
        <w:right w:val="none" w:sz="0" w:space="0" w:color="auto"/>
      </w:divBdr>
    </w:div>
    <w:div w:id="541484387">
      <w:bodyDiv w:val="1"/>
      <w:marLeft w:val="0"/>
      <w:marRight w:val="0"/>
      <w:marTop w:val="0"/>
      <w:marBottom w:val="0"/>
      <w:divBdr>
        <w:top w:val="none" w:sz="0" w:space="0" w:color="auto"/>
        <w:left w:val="none" w:sz="0" w:space="0" w:color="auto"/>
        <w:bottom w:val="none" w:sz="0" w:space="0" w:color="auto"/>
        <w:right w:val="none" w:sz="0" w:space="0" w:color="auto"/>
      </w:divBdr>
    </w:div>
    <w:div w:id="615529112">
      <w:bodyDiv w:val="1"/>
      <w:marLeft w:val="0"/>
      <w:marRight w:val="0"/>
      <w:marTop w:val="0"/>
      <w:marBottom w:val="0"/>
      <w:divBdr>
        <w:top w:val="none" w:sz="0" w:space="0" w:color="auto"/>
        <w:left w:val="none" w:sz="0" w:space="0" w:color="auto"/>
        <w:bottom w:val="none" w:sz="0" w:space="0" w:color="auto"/>
        <w:right w:val="none" w:sz="0" w:space="0" w:color="auto"/>
      </w:divBdr>
      <w:divsChild>
        <w:div w:id="442964559">
          <w:marLeft w:val="0"/>
          <w:marRight w:val="0"/>
          <w:marTop w:val="0"/>
          <w:marBottom w:val="0"/>
          <w:divBdr>
            <w:top w:val="none" w:sz="0" w:space="0" w:color="auto"/>
            <w:left w:val="none" w:sz="0" w:space="0" w:color="auto"/>
            <w:bottom w:val="none" w:sz="0" w:space="0" w:color="auto"/>
            <w:right w:val="none" w:sz="0" w:space="0" w:color="auto"/>
          </w:divBdr>
        </w:div>
        <w:div w:id="1215462760">
          <w:marLeft w:val="0"/>
          <w:marRight w:val="0"/>
          <w:marTop w:val="0"/>
          <w:marBottom w:val="0"/>
          <w:divBdr>
            <w:top w:val="none" w:sz="0" w:space="0" w:color="auto"/>
            <w:left w:val="none" w:sz="0" w:space="0" w:color="auto"/>
            <w:bottom w:val="none" w:sz="0" w:space="0" w:color="auto"/>
            <w:right w:val="none" w:sz="0" w:space="0" w:color="auto"/>
          </w:divBdr>
        </w:div>
      </w:divsChild>
    </w:div>
    <w:div w:id="918095599">
      <w:bodyDiv w:val="1"/>
      <w:marLeft w:val="0"/>
      <w:marRight w:val="0"/>
      <w:marTop w:val="0"/>
      <w:marBottom w:val="0"/>
      <w:divBdr>
        <w:top w:val="none" w:sz="0" w:space="0" w:color="auto"/>
        <w:left w:val="none" w:sz="0" w:space="0" w:color="auto"/>
        <w:bottom w:val="none" w:sz="0" w:space="0" w:color="auto"/>
        <w:right w:val="none" w:sz="0" w:space="0" w:color="auto"/>
      </w:divBdr>
    </w:div>
    <w:div w:id="1206217796">
      <w:bodyDiv w:val="1"/>
      <w:marLeft w:val="0"/>
      <w:marRight w:val="0"/>
      <w:marTop w:val="0"/>
      <w:marBottom w:val="0"/>
      <w:divBdr>
        <w:top w:val="none" w:sz="0" w:space="0" w:color="auto"/>
        <w:left w:val="none" w:sz="0" w:space="0" w:color="auto"/>
        <w:bottom w:val="none" w:sz="0" w:space="0" w:color="auto"/>
        <w:right w:val="none" w:sz="0" w:space="0" w:color="auto"/>
      </w:divBdr>
      <w:divsChild>
        <w:div w:id="462967192">
          <w:marLeft w:val="0"/>
          <w:marRight w:val="0"/>
          <w:marTop w:val="0"/>
          <w:marBottom w:val="0"/>
          <w:divBdr>
            <w:top w:val="none" w:sz="0" w:space="0" w:color="auto"/>
            <w:left w:val="none" w:sz="0" w:space="0" w:color="auto"/>
            <w:bottom w:val="none" w:sz="0" w:space="0" w:color="auto"/>
            <w:right w:val="none" w:sz="0" w:space="0" w:color="auto"/>
          </w:divBdr>
        </w:div>
        <w:div w:id="1585069032">
          <w:marLeft w:val="0"/>
          <w:marRight w:val="0"/>
          <w:marTop w:val="0"/>
          <w:marBottom w:val="0"/>
          <w:divBdr>
            <w:top w:val="none" w:sz="0" w:space="0" w:color="auto"/>
            <w:left w:val="none" w:sz="0" w:space="0" w:color="auto"/>
            <w:bottom w:val="none" w:sz="0" w:space="0" w:color="auto"/>
            <w:right w:val="none" w:sz="0" w:space="0" w:color="auto"/>
          </w:divBdr>
        </w:div>
        <w:div w:id="1098253139">
          <w:marLeft w:val="0"/>
          <w:marRight w:val="0"/>
          <w:marTop w:val="0"/>
          <w:marBottom w:val="0"/>
          <w:divBdr>
            <w:top w:val="none" w:sz="0" w:space="0" w:color="auto"/>
            <w:left w:val="none" w:sz="0" w:space="0" w:color="auto"/>
            <w:bottom w:val="none" w:sz="0" w:space="0" w:color="auto"/>
            <w:right w:val="none" w:sz="0" w:space="0" w:color="auto"/>
          </w:divBdr>
        </w:div>
        <w:div w:id="486557419">
          <w:marLeft w:val="0"/>
          <w:marRight w:val="0"/>
          <w:marTop w:val="0"/>
          <w:marBottom w:val="0"/>
          <w:divBdr>
            <w:top w:val="none" w:sz="0" w:space="0" w:color="auto"/>
            <w:left w:val="none" w:sz="0" w:space="0" w:color="auto"/>
            <w:bottom w:val="none" w:sz="0" w:space="0" w:color="auto"/>
            <w:right w:val="none" w:sz="0" w:space="0" w:color="auto"/>
          </w:divBdr>
        </w:div>
      </w:divsChild>
    </w:div>
    <w:div w:id="1325426309">
      <w:bodyDiv w:val="1"/>
      <w:marLeft w:val="0"/>
      <w:marRight w:val="0"/>
      <w:marTop w:val="0"/>
      <w:marBottom w:val="0"/>
      <w:divBdr>
        <w:top w:val="none" w:sz="0" w:space="0" w:color="auto"/>
        <w:left w:val="none" w:sz="0" w:space="0" w:color="auto"/>
        <w:bottom w:val="none" w:sz="0" w:space="0" w:color="auto"/>
        <w:right w:val="none" w:sz="0" w:space="0" w:color="auto"/>
      </w:divBdr>
    </w:div>
    <w:div w:id="1500731585">
      <w:bodyDiv w:val="1"/>
      <w:marLeft w:val="0"/>
      <w:marRight w:val="0"/>
      <w:marTop w:val="0"/>
      <w:marBottom w:val="0"/>
      <w:divBdr>
        <w:top w:val="none" w:sz="0" w:space="0" w:color="auto"/>
        <w:left w:val="none" w:sz="0" w:space="0" w:color="auto"/>
        <w:bottom w:val="none" w:sz="0" w:space="0" w:color="auto"/>
        <w:right w:val="none" w:sz="0" w:space="0" w:color="auto"/>
      </w:divBdr>
      <w:divsChild>
        <w:div w:id="459300264">
          <w:marLeft w:val="0"/>
          <w:marRight w:val="0"/>
          <w:marTop w:val="0"/>
          <w:marBottom w:val="0"/>
          <w:divBdr>
            <w:top w:val="none" w:sz="0" w:space="0" w:color="auto"/>
            <w:left w:val="none" w:sz="0" w:space="0" w:color="auto"/>
            <w:bottom w:val="none" w:sz="0" w:space="0" w:color="auto"/>
            <w:right w:val="none" w:sz="0" w:space="0" w:color="auto"/>
          </w:divBdr>
        </w:div>
        <w:div w:id="558059598">
          <w:marLeft w:val="0"/>
          <w:marRight w:val="0"/>
          <w:marTop w:val="0"/>
          <w:marBottom w:val="0"/>
          <w:divBdr>
            <w:top w:val="none" w:sz="0" w:space="0" w:color="auto"/>
            <w:left w:val="none" w:sz="0" w:space="0" w:color="auto"/>
            <w:bottom w:val="none" w:sz="0" w:space="0" w:color="auto"/>
            <w:right w:val="none" w:sz="0" w:space="0" w:color="auto"/>
          </w:divBdr>
        </w:div>
        <w:div w:id="1436363354">
          <w:marLeft w:val="0"/>
          <w:marRight w:val="0"/>
          <w:marTop w:val="0"/>
          <w:marBottom w:val="0"/>
          <w:divBdr>
            <w:top w:val="none" w:sz="0" w:space="0" w:color="auto"/>
            <w:left w:val="none" w:sz="0" w:space="0" w:color="auto"/>
            <w:bottom w:val="none" w:sz="0" w:space="0" w:color="auto"/>
            <w:right w:val="none" w:sz="0" w:space="0" w:color="auto"/>
          </w:divBdr>
        </w:div>
      </w:divsChild>
    </w:div>
    <w:div w:id="1850754367">
      <w:bodyDiv w:val="1"/>
      <w:marLeft w:val="0"/>
      <w:marRight w:val="0"/>
      <w:marTop w:val="0"/>
      <w:marBottom w:val="0"/>
      <w:divBdr>
        <w:top w:val="none" w:sz="0" w:space="0" w:color="auto"/>
        <w:left w:val="none" w:sz="0" w:space="0" w:color="auto"/>
        <w:bottom w:val="none" w:sz="0" w:space="0" w:color="auto"/>
        <w:right w:val="none" w:sz="0" w:space="0" w:color="auto"/>
      </w:divBdr>
    </w:div>
    <w:div w:id="1902059775">
      <w:bodyDiv w:val="1"/>
      <w:marLeft w:val="0"/>
      <w:marRight w:val="0"/>
      <w:marTop w:val="0"/>
      <w:marBottom w:val="0"/>
      <w:divBdr>
        <w:top w:val="none" w:sz="0" w:space="0" w:color="auto"/>
        <w:left w:val="none" w:sz="0" w:space="0" w:color="auto"/>
        <w:bottom w:val="none" w:sz="0" w:space="0" w:color="auto"/>
        <w:right w:val="none" w:sz="0" w:space="0" w:color="auto"/>
      </w:divBdr>
      <w:divsChild>
        <w:div w:id="987976283">
          <w:marLeft w:val="0"/>
          <w:marRight w:val="0"/>
          <w:marTop w:val="0"/>
          <w:marBottom w:val="0"/>
          <w:divBdr>
            <w:top w:val="none" w:sz="0" w:space="0" w:color="auto"/>
            <w:left w:val="none" w:sz="0" w:space="0" w:color="auto"/>
            <w:bottom w:val="none" w:sz="0" w:space="0" w:color="auto"/>
            <w:right w:val="none" w:sz="0" w:space="0" w:color="auto"/>
          </w:divBdr>
        </w:div>
        <w:div w:id="102262524">
          <w:marLeft w:val="0"/>
          <w:marRight w:val="0"/>
          <w:marTop w:val="0"/>
          <w:marBottom w:val="0"/>
          <w:divBdr>
            <w:top w:val="none" w:sz="0" w:space="0" w:color="auto"/>
            <w:left w:val="none" w:sz="0" w:space="0" w:color="auto"/>
            <w:bottom w:val="none" w:sz="0" w:space="0" w:color="auto"/>
            <w:right w:val="none" w:sz="0" w:space="0" w:color="auto"/>
          </w:divBdr>
        </w:div>
        <w:div w:id="1816676715">
          <w:marLeft w:val="0"/>
          <w:marRight w:val="0"/>
          <w:marTop w:val="0"/>
          <w:marBottom w:val="0"/>
          <w:divBdr>
            <w:top w:val="none" w:sz="0" w:space="0" w:color="auto"/>
            <w:left w:val="none" w:sz="0" w:space="0" w:color="auto"/>
            <w:bottom w:val="none" w:sz="0" w:space="0" w:color="auto"/>
            <w:right w:val="none" w:sz="0" w:space="0" w:color="auto"/>
          </w:divBdr>
        </w:div>
        <w:div w:id="917788602">
          <w:marLeft w:val="0"/>
          <w:marRight w:val="0"/>
          <w:marTop w:val="0"/>
          <w:marBottom w:val="0"/>
          <w:divBdr>
            <w:top w:val="none" w:sz="0" w:space="0" w:color="auto"/>
            <w:left w:val="none" w:sz="0" w:space="0" w:color="auto"/>
            <w:bottom w:val="none" w:sz="0" w:space="0" w:color="auto"/>
            <w:right w:val="none" w:sz="0" w:space="0" w:color="auto"/>
          </w:divBdr>
        </w:div>
        <w:div w:id="442461194">
          <w:marLeft w:val="0"/>
          <w:marRight w:val="0"/>
          <w:marTop w:val="0"/>
          <w:marBottom w:val="0"/>
          <w:divBdr>
            <w:top w:val="none" w:sz="0" w:space="0" w:color="auto"/>
            <w:left w:val="none" w:sz="0" w:space="0" w:color="auto"/>
            <w:bottom w:val="none" w:sz="0" w:space="0" w:color="auto"/>
            <w:right w:val="none" w:sz="0" w:space="0" w:color="auto"/>
          </w:divBdr>
        </w:div>
        <w:div w:id="1776973556">
          <w:marLeft w:val="0"/>
          <w:marRight w:val="0"/>
          <w:marTop w:val="0"/>
          <w:marBottom w:val="0"/>
          <w:divBdr>
            <w:top w:val="none" w:sz="0" w:space="0" w:color="auto"/>
            <w:left w:val="none" w:sz="0" w:space="0" w:color="auto"/>
            <w:bottom w:val="none" w:sz="0" w:space="0" w:color="auto"/>
            <w:right w:val="none" w:sz="0" w:space="0" w:color="auto"/>
          </w:divBdr>
        </w:div>
        <w:div w:id="698819888">
          <w:marLeft w:val="0"/>
          <w:marRight w:val="0"/>
          <w:marTop w:val="0"/>
          <w:marBottom w:val="0"/>
          <w:divBdr>
            <w:top w:val="none" w:sz="0" w:space="0" w:color="auto"/>
            <w:left w:val="none" w:sz="0" w:space="0" w:color="auto"/>
            <w:bottom w:val="none" w:sz="0" w:space="0" w:color="auto"/>
            <w:right w:val="none" w:sz="0" w:space="0" w:color="auto"/>
          </w:divBdr>
        </w:div>
        <w:div w:id="1207520918">
          <w:marLeft w:val="0"/>
          <w:marRight w:val="0"/>
          <w:marTop w:val="0"/>
          <w:marBottom w:val="0"/>
          <w:divBdr>
            <w:top w:val="none" w:sz="0" w:space="0" w:color="auto"/>
            <w:left w:val="none" w:sz="0" w:space="0" w:color="auto"/>
            <w:bottom w:val="none" w:sz="0" w:space="0" w:color="auto"/>
            <w:right w:val="none" w:sz="0" w:space="0" w:color="auto"/>
          </w:divBdr>
        </w:div>
        <w:div w:id="1696879191">
          <w:marLeft w:val="0"/>
          <w:marRight w:val="0"/>
          <w:marTop w:val="0"/>
          <w:marBottom w:val="0"/>
          <w:divBdr>
            <w:top w:val="none" w:sz="0" w:space="0" w:color="auto"/>
            <w:left w:val="none" w:sz="0" w:space="0" w:color="auto"/>
            <w:bottom w:val="none" w:sz="0" w:space="0" w:color="auto"/>
            <w:right w:val="none" w:sz="0" w:space="0" w:color="auto"/>
          </w:divBdr>
        </w:div>
        <w:div w:id="1631208643">
          <w:marLeft w:val="0"/>
          <w:marRight w:val="0"/>
          <w:marTop w:val="0"/>
          <w:marBottom w:val="0"/>
          <w:divBdr>
            <w:top w:val="none" w:sz="0" w:space="0" w:color="auto"/>
            <w:left w:val="none" w:sz="0" w:space="0" w:color="auto"/>
            <w:bottom w:val="none" w:sz="0" w:space="0" w:color="auto"/>
            <w:right w:val="none" w:sz="0" w:space="0" w:color="auto"/>
          </w:divBdr>
        </w:div>
        <w:div w:id="310260360">
          <w:marLeft w:val="0"/>
          <w:marRight w:val="0"/>
          <w:marTop w:val="0"/>
          <w:marBottom w:val="0"/>
          <w:divBdr>
            <w:top w:val="none" w:sz="0" w:space="0" w:color="auto"/>
            <w:left w:val="none" w:sz="0" w:space="0" w:color="auto"/>
            <w:bottom w:val="none" w:sz="0" w:space="0" w:color="auto"/>
            <w:right w:val="none" w:sz="0" w:space="0" w:color="auto"/>
          </w:divBdr>
        </w:div>
        <w:div w:id="272057333">
          <w:marLeft w:val="0"/>
          <w:marRight w:val="0"/>
          <w:marTop w:val="0"/>
          <w:marBottom w:val="0"/>
          <w:divBdr>
            <w:top w:val="none" w:sz="0" w:space="0" w:color="auto"/>
            <w:left w:val="none" w:sz="0" w:space="0" w:color="auto"/>
            <w:bottom w:val="none" w:sz="0" w:space="0" w:color="auto"/>
            <w:right w:val="none" w:sz="0" w:space="0" w:color="auto"/>
          </w:divBdr>
        </w:div>
        <w:div w:id="749085712">
          <w:marLeft w:val="0"/>
          <w:marRight w:val="0"/>
          <w:marTop w:val="0"/>
          <w:marBottom w:val="0"/>
          <w:divBdr>
            <w:top w:val="none" w:sz="0" w:space="0" w:color="auto"/>
            <w:left w:val="none" w:sz="0" w:space="0" w:color="auto"/>
            <w:bottom w:val="none" w:sz="0" w:space="0" w:color="auto"/>
            <w:right w:val="none" w:sz="0" w:space="0" w:color="auto"/>
          </w:divBdr>
        </w:div>
        <w:div w:id="2053920564">
          <w:marLeft w:val="0"/>
          <w:marRight w:val="0"/>
          <w:marTop w:val="0"/>
          <w:marBottom w:val="0"/>
          <w:divBdr>
            <w:top w:val="none" w:sz="0" w:space="0" w:color="auto"/>
            <w:left w:val="none" w:sz="0" w:space="0" w:color="auto"/>
            <w:bottom w:val="none" w:sz="0" w:space="0" w:color="auto"/>
            <w:right w:val="none" w:sz="0" w:space="0" w:color="auto"/>
          </w:divBdr>
        </w:div>
        <w:div w:id="401490614">
          <w:marLeft w:val="0"/>
          <w:marRight w:val="0"/>
          <w:marTop w:val="0"/>
          <w:marBottom w:val="0"/>
          <w:divBdr>
            <w:top w:val="none" w:sz="0" w:space="0" w:color="auto"/>
            <w:left w:val="none" w:sz="0" w:space="0" w:color="auto"/>
            <w:bottom w:val="none" w:sz="0" w:space="0" w:color="auto"/>
            <w:right w:val="none" w:sz="0" w:space="0" w:color="auto"/>
          </w:divBdr>
        </w:div>
        <w:div w:id="1266841091">
          <w:marLeft w:val="0"/>
          <w:marRight w:val="0"/>
          <w:marTop w:val="0"/>
          <w:marBottom w:val="0"/>
          <w:divBdr>
            <w:top w:val="none" w:sz="0" w:space="0" w:color="auto"/>
            <w:left w:val="none" w:sz="0" w:space="0" w:color="auto"/>
            <w:bottom w:val="none" w:sz="0" w:space="0" w:color="auto"/>
            <w:right w:val="none" w:sz="0" w:space="0" w:color="auto"/>
          </w:divBdr>
        </w:div>
        <w:div w:id="2075081513">
          <w:marLeft w:val="0"/>
          <w:marRight w:val="0"/>
          <w:marTop w:val="0"/>
          <w:marBottom w:val="0"/>
          <w:divBdr>
            <w:top w:val="none" w:sz="0" w:space="0" w:color="auto"/>
            <w:left w:val="none" w:sz="0" w:space="0" w:color="auto"/>
            <w:bottom w:val="none" w:sz="0" w:space="0" w:color="auto"/>
            <w:right w:val="none" w:sz="0" w:space="0" w:color="auto"/>
          </w:divBdr>
        </w:div>
        <w:div w:id="709912420">
          <w:marLeft w:val="0"/>
          <w:marRight w:val="0"/>
          <w:marTop w:val="0"/>
          <w:marBottom w:val="0"/>
          <w:divBdr>
            <w:top w:val="none" w:sz="0" w:space="0" w:color="auto"/>
            <w:left w:val="none" w:sz="0" w:space="0" w:color="auto"/>
            <w:bottom w:val="none" w:sz="0" w:space="0" w:color="auto"/>
            <w:right w:val="none" w:sz="0" w:space="0" w:color="auto"/>
          </w:divBdr>
        </w:div>
        <w:div w:id="391202079">
          <w:marLeft w:val="0"/>
          <w:marRight w:val="0"/>
          <w:marTop w:val="0"/>
          <w:marBottom w:val="0"/>
          <w:divBdr>
            <w:top w:val="none" w:sz="0" w:space="0" w:color="auto"/>
            <w:left w:val="none" w:sz="0" w:space="0" w:color="auto"/>
            <w:bottom w:val="none" w:sz="0" w:space="0" w:color="auto"/>
            <w:right w:val="none" w:sz="0" w:space="0" w:color="auto"/>
          </w:divBdr>
        </w:div>
        <w:div w:id="1083836831">
          <w:marLeft w:val="0"/>
          <w:marRight w:val="0"/>
          <w:marTop w:val="0"/>
          <w:marBottom w:val="0"/>
          <w:divBdr>
            <w:top w:val="none" w:sz="0" w:space="0" w:color="auto"/>
            <w:left w:val="none" w:sz="0" w:space="0" w:color="auto"/>
            <w:bottom w:val="none" w:sz="0" w:space="0" w:color="auto"/>
            <w:right w:val="none" w:sz="0" w:space="0" w:color="auto"/>
          </w:divBdr>
        </w:div>
        <w:div w:id="369257791">
          <w:marLeft w:val="0"/>
          <w:marRight w:val="0"/>
          <w:marTop w:val="0"/>
          <w:marBottom w:val="0"/>
          <w:divBdr>
            <w:top w:val="none" w:sz="0" w:space="0" w:color="auto"/>
            <w:left w:val="none" w:sz="0" w:space="0" w:color="auto"/>
            <w:bottom w:val="none" w:sz="0" w:space="0" w:color="auto"/>
            <w:right w:val="none" w:sz="0" w:space="0" w:color="auto"/>
          </w:divBdr>
        </w:div>
        <w:div w:id="858473321">
          <w:marLeft w:val="0"/>
          <w:marRight w:val="0"/>
          <w:marTop w:val="0"/>
          <w:marBottom w:val="0"/>
          <w:divBdr>
            <w:top w:val="none" w:sz="0" w:space="0" w:color="auto"/>
            <w:left w:val="none" w:sz="0" w:space="0" w:color="auto"/>
            <w:bottom w:val="none" w:sz="0" w:space="0" w:color="auto"/>
            <w:right w:val="none" w:sz="0" w:space="0" w:color="auto"/>
          </w:divBdr>
        </w:div>
        <w:div w:id="880824736">
          <w:marLeft w:val="0"/>
          <w:marRight w:val="0"/>
          <w:marTop w:val="0"/>
          <w:marBottom w:val="0"/>
          <w:divBdr>
            <w:top w:val="none" w:sz="0" w:space="0" w:color="auto"/>
            <w:left w:val="none" w:sz="0" w:space="0" w:color="auto"/>
            <w:bottom w:val="none" w:sz="0" w:space="0" w:color="auto"/>
            <w:right w:val="none" w:sz="0" w:space="0" w:color="auto"/>
          </w:divBdr>
        </w:div>
        <w:div w:id="2092845053">
          <w:marLeft w:val="0"/>
          <w:marRight w:val="0"/>
          <w:marTop w:val="0"/>
          <w:marBottom w:val="0"/>
          <w:divBdr>
            <w:top w:val="none" w:sz="0" w:space="0" w:color="auto"/>
            <w:left w:val="none" w:sz="0" w:space="0" w:color="auto"/>
            <w:bottom w:val="none" w:sz="0" w:space="0" w:color="auto"/>
            <w:right w:val="none" w:sz="0" w:space="0" w:color="auto"/>
          </w:divBdr>
        </w:div>
        <w:div w:id="1374690837">
          <w:marLeft w:val="0"/>
          <w:marRight w:val="0"/>
          <w:marTop w:val="0"/>
          <w:marBottom w:val="0"/>
          <w:divBdr>
            <w:top w:val="none" w:sz="0" w:space="0" w:color="auto"/>
            <w:left w:val="none" w:sz="0" w:space="0" w:color="auto"/>
            <w:bottom w:val="none" w:sz="0" w:space="0" w:color="auto"/>
            <w:right w:val="none" w:sz="0" w:space="0" w:color="auto"/>
          </w:divBdr>
        </w:div>
        <w:div w:id="566232111">
          <w:marLeft w:val="0"/>
          <w:marRight w:val="0"/>
          <w:marTop w:val="0"/>
          <w:marBottom w:val="0"/>
          <w:divBdr>
            <w:top w:val="none" w:sz="0" w:space="0" w:color="auto"/>
            <w:left w:val="none" w:sz="0" w:space="0" w:color="auto"/>
            <w:bottom w:val="none" w:sz="0" w:space="0" w:color="auto"/>
            <w:right w:val="none" w:sz="0" w:space="0" w:color="auto"/>
          </w:divBdr>
        </w:div>
        <w:div w:id="336659306">
          <w:marLeft w:val="0"/>
          <w:marRight w:val="0"/>
          <w:marTop w:val="0"/>
          <w:marBottom w:val="0"/>
          <w:divBdr>
            <w:top w:val="none" w:sz="0" w:space="0" w:color="auto"/>
            <w:left w:val="none" w:sz="0" w:space="0" w:color="auto"/>
            <w:bottom w:val="none" w:sz="0" w:space="0" w:color="auto"/>
            <w:right w:val="none" w:sz="0" w:space="0" w:color="auto"/>
          </w:divBdr>
        </w:div>
        <w:div w:id="1876767663">
          <w:marLeft w:val="0"/>
          <w:marRight w:val="0"/>
          <w:marTop w:val="0"/>
          <w:marBottom w:val="0"/>
          <w:divBdr>
            <w:top w:val="none" w:sz="0" w:space="0" w:color="auto"/>
            <w:left w:val="none" w:sz="0" w:space="0" w:color="auto"/>
            <w:bottom w:val="none" w:sz="0" w:space="0" w:color="auto"/>
            <w:right w:val="none" w:sz="0" w:space="0" w:color="auto"/>
          </w:divBdr>
        </w:div>
        <w:div w:id="1596746463">
          <w:marLeft w:val="0"/>
          <w:marRight w:val="0"/>
          <w:marTop w:val="0"/>
          <w:marBottom w:val="0"/>
          <w:divBdr>
            <w:top w:val="none" w:sz="0" w:space="0" w:color="auto"/>
            <w:left w:val="none" w:sz="0" w:space="0" w:color="auto"/>
            <w:bottom w:val="none" w:sz="0" w:space="0" w:color="auto"/>
            <w:right w:val="none" w:sz="0" w:space="0" w:color="auto"/>
          </w:divBdr>
        </w:div>
        <w:div w:id="155845921">
          <w:marLeft w:val="0"/>
          <w:marRight w:val="0"/>
          <w:marTop w:val="0"/>
          <w:marBottom w:val="0"/>
          <w:divBdr>
            <w:top w:val="none" w:sz="0" w:space="0" w:color="auto"/>
            <w:left w:val="none" w:sz="0" w:space="0" w:color="auto"/>
            <w:bottom w:val="none" w:sz="0" w:space="0" w:color="auto"/>
            <w:right w:val="none" w:sz="0" w:space="0" w:color="auto"/>
          </w:divBdr>
        </w:div>
        <w:div w:id="1424493044">
          <w:marLeft w:val="0"/>
          <w:marRight w:val="0"/>
          <w:marTop w:val="0"/>
          <w:marBottom w:val="0"/>
          <w:divBdr>
            <w:top w:val="none" w:sz="0" w:space="0" w:color="auto"/>
            <w:left w:val="none" w:sz="0" w:space="0" w:color="auto"/>
            <w:bottom w:val="none" w:sz="0" w:space="0" w:color="auto"/>
            <w:right w:val="none" w:sz="0" w:space="0" w:color="auto"/>
          </w:divBdr>
        </w:div>
        <w:div w:id="1329019440">
          <w:marLeft w:val="0"/>
          <w:marRight w:val="0"/>
          <w:marTop w:val="0"/>
          <w:marBottom w:val="0"/>
          <w:divBdr>
            <w:top w:val="none" w:sz="0" w:space="0" w:color="auto"/>
            <w:left w:val="none" w:sz="0" w:space="0" w:color="auto"/>
            <w:bottom w:val="none" w:sz="0" w:space="0" w:color="auto"/>
            <w:right w:val="none" w:sz="0" w:space="0" w:color="auto"/>
          </w:divBdr>
        </w:div>
        <w:div w:id="1547330167">
          <w:marLeft w:val="0"/>
          <w:marRight w:val="0"/>
          <w:marTop w:val="0"/>
          <w:marBottom w:val="0"/>
          <w:divBdr>
            <w:top w:val="none" w:sz="0" w:space="0" w:color="auto"/>
            <w:left w:val="none" w:sz="0" w:space="0" w:color="auto"/>
            <w:bottom w:val="none" w:sz="0" w:space="0" w:color="auto"/>
            <w:right w:val="none" w:sz="0" w:space="0" w:color="auto"/>
          </w:divBdr>
        </w:div>
        <w:div w:id="451825037">
          <w:marLeft w:val="0"/>
          <w:marRight w:val="0"/>
          <w:marTop w:val="0"/>
          <w:marBottom w:val="0"/>
          <w:divBdr>
            <w:top w:val="none" w:sz="0" w:space="0" w:color="auto"/>
            <w:left w:val="none" w:sz="0" w:space="0" w:color="auto"/>
            <w:bottom w:val="none" w:sz="0" w:space="0" w:color="auto"/>
            <w:right w:val="none" w:sz="0" w:space="0" w:color="auto"/>
          </w:divBdr>
        </w:div>
        <w:div w:id="1250459318">
          <w:marLeft w:val="0"/>
          <w:marRight w:val="0"/>
          <w:marTop w:val="0"/>
          <w:marBottom w:val="0"/>
          <w:divBdr>
            <w:top w:val="none" w:sz="0" w:space="0" w:color="auto"/>
            <w:left w:val="none" w:sz="0" w:space="0" w:color="auto"/>
            <w:bottom w:val="none" w:sz="0" w:space="0" w:color="auto"/>
            <w:right w:val="none" w:sz="0" w:space="0" w:color="auto"/>
          </w:divBdr>
        </w:div>
        <w:div w:id="766656122">
          <w:marLeft w:val="0"/>
          <w:marRight w:val="0"/>
          <w:marTop w:val="0"/>
          <w:marBottom w:val="0"/>
          <w:divBdr>
            <w:top w:val="none" w:sz="0" w:space="0" w:color="auto"/>
            <w:left w:val="none" w:sz="0" w:space="0" w:color="auto"/>
            <w:bottom w:val="none" w:sz="0" w:space="0" w:color="auto"/>
            <w:right w:val="none" w:sz="0" w:space="0" w:color="auto"/>
          </w:divBdr>
        </w:div>
        <w:div w:id="1613783774">
          <w:marLeft w:val="0"/>
          <w:marRight w:val="0"/>
          <w:marTop w:val="0"/>
          <w:marBottom w:val="0"/>
          <w:divBdr>
            <w:top w:val="none" w:sz="0" w:space="0" w:color="auto"/>
            <w:left w:val="none" w:sz="0" w:space="0" w:color="auto"/>
            <w:bottom w:val="none" w:sz="0" w:space="0" w:color="auto"/>
            <w:right w:val="none" w:sz="0" w:space="0" w:color="auto"/>
          </w:divBdr>
        </w:div>
        <w:div w:id="123549958">
          <w:marLeft w:val="0"/>
          <w:marRight w:val="0"/>
          <w:marTop w:val="0"/>
          <w:marBottom w:val="0"/>
          <w:divBdr>
            <w:top w:val="none" w:sz="0" w:space="0" w:color="auto"/>
            <w:left w:val="none" w:sz="0" w:space="0" w:color="auto"/>
            <w:bottom w:val="none" w:sz="0" w:space="0" w:color="auto"/>
            <w:right w:val="none" w:sz="0" w:space="0" w:color="auto"/>
          </w:divBdr>
        </w:div>
        <w:div w:id="667291303">
          <w:marLeft w:val="0"/>
          <w:marRight w:val="0"/>
          <w:marTop w:val="0"/>
          <w:marBottom w:val="0"/>
          <w:divBdr>
            <w:top w:val="none" w:sz="0" w:space="0" w:color="auto"/>
            <w:left w:val="none" w:sz="0" w:space="0" w:color="auto"/>
            <w:bottom w:val="none" w:sz="0" w:space="0" w:color="auto"/>
            <w:right w:val="none" w:sz="0" w:space="0" w:color="auto"/>
          </w:divBdr>
        </w:div>
        <w:div w:id="1003356365">
          <w:marLeft w:val="0"/>
          <w:marRight w:val="0"/>
          <w:marTop w:val="0"/>
          <w:marBottom w:val="0"/>
          <w:divBdr>
            <w:top w:val="none" w:sz="0" w:space="0" w:color="auto"/>
            <w:left w:val="none" w:sz="0" w:space="0" w:color="auto"/>
            <w:bottom w:val="none" w:sz="0" w:space="0" w:color="auto"/>
            <w:right w:val="none" w:sz="0" w:space="0" w:color="auto"/>
          </w:divBdr>
        </w:div>
        <w:div w:id="1253781912">
          <w:marLeft w:val="0"/>
          <w:marRight w:val="0"/>
          <w:marTop w:val="0"/>
          <w:marBottom w:val="0"/>
          <w:divBdr>
            <w:top w:val="none" w:sz="0" w:space="0" w:color="auto"/>
            <w:left w:val="none" w:sz="0" w:space="0" w:color="auto"/>
            <w:bottom w:val="none" w:sz="0" w:space="0" w:color="auto"/>
            <w:right w:val="none" w:sz="0" w:space="0" w:color="auto"/>
          </w:divBdr>
        </w:div>
        <w:div w:id="861407143">
          <w:marLeft w:val="0"/>
          <w:marRight w:val="0"/>
          <w:marTop w:val="0"/>
          <w:marBottom w:val="0"/>
          <w:divBdr>
            <w:top w:val="none" w:sz="0" w:space="0" w:color="auto"/>
            <w:left w:val="none" w:sz="0" w:space="0" w:color="auto"/>
            <w:bottom w:val="none" w:sz="0" w:space="0" w:color="auto"/>
            <w:right w:val="none" w:sz="0" w:space="0" w:color="auto"/>
          </w:divBdr>
        </w:div>
        <w:div w:id="741686247">
          <w:marLeft w:val="0"/>
          <w:marRight w:val="0"/>
          <w:marTop w:val="0"/>
          <w:marBottom w:val="0"/>
          <w:divBdr>
            <w:top w:val="none" w:sz="0" w:space="0" w:color="auto"/>
            <w:left w:val="none" w:sz="0" w:space="0" w:color="auto"/>
            <w:bottom w:val="none" w:sz="0" w:space="0" w:color="auto"/>
            <w:right w:val="none" w:sz="0" w:space="0" w:color="auto"/>
          </w:divBdr>
        </w:div>
        <w:div w:id="765004388">
          <w:marLeft w:val="0"/>
          <w:marRight w:val="0"/>
          <w:marTop w:val="0"/>
          <w:marBottom w:val="0"/>
          <w:divBdr>
            <w:top w:val="none" w:sz="0" w:space="0" w:color="auto"/>
            <w:left w:val="none" w:sz="0" w:space="0" w:color="auto"/>
            <w:bottom w:val="none" w:sz="0" w:space="0" w:color="auto"/>
            <w:right w:val="none" w:sz="0" w:space="0" w:color="auto"/>
          </w:divBdr>
        </w:div>
        <w:div w:id="396317263">
          <w:marLeft w:val="0"/>
          <w:marRight w:val="0"/>
          <w:marTop w:val="0"/>
          <w:marBottom w:val="0"/>
          <w:divBdr>
            <w:top w:val="none" w:sz="0" w:space="0" w:color="auto"/>
            <w:left w:val="none" w:sz="0" w:space="0" w:color="auto"/>
            <w:bottom w:val="none" w:sz="0" w:space="0" w:color="auto"/>
            <w:right w:val="none" w:sz="0" w:space="0" w:color="auto"/>
          </w:divBdr>
        </w:div>
        <w:div w:id="1344824388">
          <w:marLeft w:val="0"/>
          <w:marRight w:val="0"/>
          <w:marTop w:val="0"/>
          <w:marBottom w:val="0"/>
          <w:divBdr>
            <w:top w:val="none" w:sz="0" w:space="0" w:color="auto"/>
            <w:left w:val="none" w:sz="0" w:space="0" w:color="auto"/>
            <w:bottom w:val="none" w:sz="0" w:space="0" w:color="auto"/>
            <w:right w:val="none" w:sz="0" w:space="0" w:color="auto"/>
          </w:divBdr>
        </w:div>
        <w:div w:id="772824047">
          <w:marLeft w:val="0"/>
          <w:marRight w:val="0"/>
          <w:marTop w:val="0"/>
          <w:marBottom w:val="0"/>
          <w:divBdr>
            <w:top w:val="none" w:sz="0" w:space="0" w:color="auto"/>
            <w:left w:val="none" w:sz="0" w:space="0" w:color="auto"/>
            <w:bottom w:val="none" w:sz="0" w:space="0" w:color="auto"/>
            <w:right w:val="none" w:sz="0" w:space="0" w:color="auto"/>
          </w:divBdr>
        </w:div>
        <w:div w:id="154806765">
          <w:marLeft w:val="0"/>
          <w:marRight w:val="0"/>
          <w:marTop w:val="0"/>
          <w:marBottom w:val="0"/>
          <w:divBdr>
            <w:top w:val="none" w:sz="0" w:space="0" w:color="auto"/>
            <w:left w:val="none" w:sz="0" w:space="0" w:color="auto"/>
            <w:bottom w:val="none" w:sz="0" w:space="0" w:color="auto"/>
            <w:right w:val="none" w:sz="0" w:space="0" w:color="auto"/>
          </w:divBdr>
        </w:div>
        <w:div w:id="2017609000">
          <w:marLeft w:val="0"/>
          <w:marRight w:val="0"/>
          <w:marTop w:val="0"/>
          <w:marBottom w:val="0"/>
          <w:divBdr>
            <w:top w:val="none" w:sz="0" w:space="0" w:color="auto"/>
            <w:left w:val="none" w:sz="0" w:space="0" w:color="auto"/>
            <w:bottom w:val="none" w:sz="0" w:space="0" w:color="auto"/>
            <w:right w:val="none" w:sz="0" w:space="0" w:color="auto"/>
          </w:divBdr>
        </w:div>
        <w:div w:id="532423960">
          <w:marLeft w:val="0"/>
          <w:marRight w:val="0"/>
          <w:marTop w:val="0"/>
          <w:marBottom w:val="0"/>
          <w:divBdr>
            <w:top w:val="none" w:sz="0" w:space="0" w:color="auto"/>
            <w:left w:val="none" w:sz="0" w:space="0" w:color="auto"/>
            <w:bottom w:val="none" w:sz="0" w:space="0" w:color="auto"/>
            <w:right w:val="none" w:sz="0" w:space="0" w:color="auto"/>
          </w:divBdr>
        </w:div>
        <w:div w:id="294213633">
          <w:marLeft w:val="0"/>
          <w:marRight w:val="0"/>
          <w:marTop w:val="0"/>
          <w:marBottom w:val="0"/>
          <w:divBdr>
            <w:top w:val="none" w:sz="0" w:space="0" w:color="auto"/>
            <w:left w:val="none" w:sz="0" w:space="0" w:color="auto"/>
            <w:bottom w:val="none" w:sz="0" w:space="0" w:color="auto"/>
            <w:right w:val="none" w:sz="0" w:space="0" w:color="auto"/>
          </w:divBdr>
        </w:div>
        <w:div w:id="831684107">
          <w:marLeft w:val="0"/>
          <w:marRight w:val="0"/>
          <w:marTop w:val="0"/>
          <w:marBottom w:val="0"/>
          <w:divBdr>
            <w:top w:val="none" w:sz="0" w:space="0" w:color="auto"/>
            <w:left w:val="none" w:sz="0" w:space="0" w:color="auto"/>
            <w:bottom w:val="none" w:sz="0" w:space="0" w:color="auto"/>
            <w:right w:val="none" w:sz="0" w:space="0" w:color="auto"/>
          </w:divBdr>
        </w:div>
        <w:div w:id="458718353">
          <w:marLeft w:val="0"/>
          <w:marRight w:val="0"/>
          <w:marTop w:val="0"/>
          <w:marBottom w:val="0"/>
          <w:divBdr>
            <w:top w:val="none" w:sz="0" w:space="0" w:color="auto"/>
            <w:left w:val="none" w:sz="0" w:space="0" w:color="auto"/>
            <w:bottom w:val="none" w:sz="0" w:space="0" w:color="auto"/>
            <w:right w:val="none" w:sz="0" w:space="0" w:color="auto"/>
          </w:divBdr>
        </w:div>
        <w:div w:id="81922892">
          <w:marLeft w:val="0"/>
          <w:marRight w:val="0"/>
          <w:marTop w:val="0"/>
          <w:marBottom w:val="0"/>
          <w:divBdr>
            <w:top w:val="none" w:sz="0" w:space="0" w:color="auto"/>
            <w:left w:val="none" w:sz="0" w:space="0" w:color="auto"/>
            <w:bottom w:val="none" w:sz="0" w:space="0" w:color="auto"/>
            <w:right w:val="none" w:sz="0" w:space="0" w:color="auto"/>
          </w:divBdr>
        </w:div>
        <w:div w:id="1898274912">
          <w:marLeft w:val="0"/>
          <w:marRight w:val="0"/>
          <w:marTop w:val="0"/>
          <w:marBottom w:val="0"/>
          <w:divBdr>
            <w:top w:val="none" w:sz="0" w:space="0" w:color="auto"/>
            <w:left w:val="none" w:sz="0" w:space="0" w:color="auto"/>
            <w:bottom w:val="none" w:sz="0" w:space="0" w:color="auto"/>
            <w:right w:val="none" w:sz="0" w:space="0" w:color="auto"/>
          </w:divBdr>
        </w:div>
        <w:div w:id="1451901204">
          <w:marLeft w:val="0"/>
          <w:marRight w:val="0"/>
          <w:marTop w:val="0"/>
          <w:marBottom w:val="0"/>
          <w:divBdr>
            <w:top w:val="none" w:sz="0" w:space="0" w:color="auto"/>
            <w:left w:val="none" w:sz="0" w:space="0" w:color="auto"/>
            <w:bottom w:val="none" w:sz="0" w:space="0" w:color="auto"/>
            <w:right w:val="none" w:sz="0" w:space="0" w:color="auto"/>
          </w:divBdr>
        </w:div>
        <w:div w:id="680471271">
          <w:marLeft w:val="0"/>
          <w:marRight w:val="0"/>
          <w:marTop w:val="0"/>
          <w:marBottom w:val="0"/>
          <w:divBdr>
            <w:top w:val="none" w:sz="0" w:space="0" w:color="auto"/>
            <w:left w:val="none" w:sz="0" w:space="0" w:color="auto"/>
            <w:bottom w:val="none" w:sz="0" w:space="0" w:color="auto"/>
            <w:right w:val="none" w:sz="0" w:space="0" w:color="auto"/>
          </w:divBdr>
        </w:div>
        <w:div w:id="1907179101">
          <w:marLeft w:val="0"/>
          <w:marRight w:val="0"/>
          <w:marTop w:val="0"/>
          <w:marBottom w:val="0"/>
          <w:divBdr>
            <w:top w:val="none" w:sz="0" w:space="0" w:color="auto"/>
            <w:left w:val="none" w:sz="0" w:space="0" w:color="auto"/>
            <w:bottom w:val="none" w:sz="0" w:space="0" w:color="auto"/>
            <w:right w:val="none" w:sz="0" w:space="0" w:color="auto"/>
          </w:divBdr>
        </w:div>
        <w:div w:id="372658067">
          <w:marLeft w:val="0"/>
          <w:marRight w:val="0"/>
          <w:marTop w:val="0"/>
          <w:marBottom w:val="0"/>
          <w:divBdr>
            <w:top w:val="none" w:sz="0" w:space="0" w:color="auto"/>
            <w:left w:val="none" w:sz="0" w:space="0" w:color="auto"/>
            <w:bottom w:val="none" w:sz="0" w:space="0" w:color="auto"/>
            <w:right w:val="none" w:sz="0" w:space="0" w:color="auto"/>
          </w:divBdr>
        </w:div>
        <w:div w:id="1596287931">
          <w:marLeft w:val="0"/>
          <w:marRight w:val="0"/>
          <w:marTop w:val="0"/>
          <w:marBottom w:val="0"/>
          <w:divBdr>
            <w:top w:val="none" w:sz="0" w:space="0" w:color="auto"/>
            <w:left w:val="none" w:sz="0" w:space="0" w:color="auto"/>
            <w:bottom w:val="none" w:sz="0" w:space="0" w:color="auto"/>
            <w:right w:val="none" w:sz="0" w:space="0" w:color="auto"/>
          </w:divBdr>
        </w:div>
        <w:div w:id="120929316">
          <w:marLeft w:val="0"/>
          <w:marRight w:val="0"/>
          <w:marTop w:val="0"/>
          <w:marBottom w:val="0"/>
          <w:divBdr>
            <w:top w:val="none" w:sz="0" w:space="0" w:color="auto"/>
            <w:left w:val="none" w:sz="0" w:space="0" w:color="auto"/>
            <w:bottom w:val="none" w:sz="0" w:space="0" w:color="auto"/>
            <w:right w:val="none" w:sz="0" w:space="0" w:color="auto"/>
          </w:divBdr>
        </w:div>
        <w:div w:id="1335455309">
          <w:marLeft w:val="0"/>
          <w:marRight w:val="0"/>
          <w:marTop w:val="0"/>
          <w:marBottom w:val="0"/>
          <w:divBdr>
            <w:top w:val="none" w:sz="0" w:space="0" w:color="auto"/>
            <w:left w:val="none" w:sz="0" w:space="0" w:color="auto"/>
            <w:bottom w:val="none" w:sz="0" w:space="0" w:color="auto"/>
            <w:right w:val="none" w:sz="0" w:space="0" w:color="auto"/>
          </w:divBdr>
        </w:div>
        <w:div w:id="629943662">
          <w:marLeft w:val="0"/>
          <w:marRight w:val="0"/>
          <w:marTop w:val="0"/>
          <w:marBottom w:val="0"/>
          <w:divBdr>
            <w:top w:val="none" w:sz="0" w:space="0" w:color="auto"/>
            <w:left w:val="none" w:sz="0" w:space="0" w:color="auto"/>
            <w:bottom w:val="none" w:sz="0" w:space="0" w:color="auto"/>
            <w:right w:val="none" w:sz="0" w:space="0" w:color="auto"/>
          </w:divBdr>
        </w:div>
        <w:div w:id="1508207158">
          <w:marLeft w:val="0"/>
          <w:marRight w:val="0"/>
          <w:marTop w:val="0"/>
          <w:marBottom w:val="0"/>
          <w:divBdr>
            <w:top w:val="none" w:sz="0" w:space="0" w:color="auto"/>
            <w:left w:val="none" w:sz="0" w:space="0" w:color="auto"/>
            <w:bottom w:val="none" w:sz="0" w:space="0" w:color="auto"/>
            <w:right w:val="none" w:sz="0" w:space="0" w:color="auto"/>
          </w:divBdr>
        </w:div>
        <w:div w:id="1192569394">
          <w:marLeft w:val="0"/>
          <w:marRight w:val="0"/>
          <w:marTop w:val="0"/>
          <w:marBottom w:val="0"/>
          <w:divBdr>
            <w:top w:val="none" w:sz="0" w:space="0" w:color="auto"/>
            <w:left w:val="none" w:sz="0" w:space="0" w:color="auto"/>
            <w:bottom w:val="none" w:sz="0" w:space="0" w:color="auto"/>
            <w:right w:val="none" w:sz="0" w:space="0" w:color="auto"/>
          </w:divBdr>
        </w:div>
        <w:div w:id="1384215699">
          <w:marLeft w:val="0"/>
          <w:marRight w:val="0"/>
          <w:marTop w:val="0"/>
          <w:marBottom w:val="0"/>
          <w:divBdr>
            <w:top w:val="none" w:sz="0" w:space="0" w:color="auto"/>
            <w:left w:val="none" w:sz="0" w:space="0" w:color="auto"/>
            <w:bottom w:val="none" w:sz="0" w:space="0" w:color="auto"/>
            <w:right w:val="none" w:sz="0" w:space="0" w:color="auto"/>
          </w:divBdr>
        </w:div>
        <w:div w:id="1547641483">
          <w:marLeft w:val="0"/>
          <w:marRight w:val="0"/>
          <w:marTop w:val="0"/>
          <w:marBottom w:val="0"/>
          <w:divBdr>
            <w:top w:val="none" w:sz="0" w:space="0" w:color="auto"/>
            <w:left w:val="none" w:sz="0" w:space="0" w:color="auto"/>
            <w:bottom w:val="none" w:sz="0" w:space="0" w:color="auto"/>
            <w:right w:val="none" w:sz="0" w:space="0" w:color="auto"/>
          </w:divBdr>
        </w:div>
        <w:div w:id="1068576645">
          <w:marLeft w:val="0"/>
          <w:marRight w:val="0"/>
          <w:marTop w:val="0"/>
          <w:marBottom w:val="0"/>
          <w:divBdr>
            <w:top w:val="none" w:sz="0" w:space="0" w:color="auto"/>
            <w:left w:val="none" w:sz="0" w:space="0" w:color="auto"/>
            <w:bottom w:val="none" w:sz="0" w:space="0" w:color="auto"/>
            <w:right w:val="none" w:sz="0" w:space="0" w:color="auto"/>
          </w:divBdr>
        </w:div>
        <w:div w:id="142475994">
          <w:marLeft w:val="0"/>
          <w:marRight w:val="0"/>
          <w:marTop w:val="0"/>
          <w:marBottom w:val="0"/>
          <w:divBdr>
            <w:top w:val="none" w:sz="0" w:space="0" w:color="auto"/>
            <w:left w:val="none" w:sz="0" w:space="0" w:color="auto"/>
            <w:bottom w:val="none" w:sz="0" w:space="0" w:color="auto"/>
            <w:right w:val="none" w:sz="0" w:space="0" w:color="auto"/>
          </w:divBdr>
        </w:div>
        <w:div w:id="4795782">
          <w:marLeft w:val="0"/>
          <w:marRight w:val="0"/>
          <w:marTop w:val="0"/>
          <w:marBottom w:val="0"/>
          <w:divBdr>
            <w:top w:val="none" w:sz="0" w:space="0" w:color="auto"/>
            <w:left w:val="none" w:sz="0" w:space="0" w:color="auto"/>
            <w:bottom w:val="none" w:sz="0" w:space="0" w:color="auto"/>
            <w:right w:val="none" w:sz="0" w:space="0" w:color="auto"/>
          </w:divBdr>
        </w:div>
        <w:div w:id="1940210757">
          <w:marLeft w:val="0"/>
          <w:marRight w:val="0"/>
          <w:marTop w:val="0"/>
          <w:marBottom w:val="0"/>
          <w:divBdr>
            <w:top w:val="none" w:sz="0" w:space="0" w:color="auto"/>
            <w:left w:val="none" w:sz="0" w:space="0" w:color="auto"/>
            <w:bottom w:val="none" w:sz="0" w:space="0" w:color="auto"/>
            <w:right w:val="none" w:sz="0" w:space="0" w:color="auto"/>
          </w:divBdr>
        </w:div>
        <w:div w:id="967737305">
          <w:marLeft w:val="0"/>
          <w:marRight w:val="0"/>
          <w:marTop w:val="0"/>
          <w:marBottom w:val="0"/>
          <w:divBdr>
            <w:top w:val="none" w:sz="0" w:space="0" w:color="auto"/>
            <w:left w:val="none" w:sz="0" w:space="0" w:color="auto"/>
            <w:bottom w:val="none" w:sz="0" w:space="0" w:color="auto"/>
            <w:right w:val="none" w:sz="0" w:space="0" w:color="auto"/>
          </w:divBdr>
        </w:div>
        <w:div w:id="1631861281">
          <w:marLeft w:val="0"/>
          <w:marRight w:val="0"/>
          <w:marTop w:val="0"/>
          <w:marBottom w:val="0"/>
          <w:divBdr>
            <w:top w:val="none" w:sz="0" w:space="0" w:color="auto"/>
            <w:left w:val="none" w:sz="0" w:space="0" w:color="auto"/>
            <w:bottom w:val="none" w:sz="0" w:space="0" w:color="auto"/>
            <w:right w:val="none" w:sz="0" w:space="0" w:color="auto"/>
          </w:divBdr>
        </w:div>
        <w:div w:id="263458806">
          <w:marLeft w:val="0"/>
          <w:marRight w:val="0"/>
          <w:marTop w:val="0"/>
          <w:marBottom w:val="0"/>
          <w:divBdr>
            <w:top w:val="none" w:sz="0" w:space="0" w:color="auto"/>
            <w:left w:val="none" w:sz="0" w:space="0" w:color="auto"/>
            <w:bottom w:val="none" w:sz="0" w:space="0" w:color="auto"/>
            <w:right w:val="none" w:sz="0" w:space="0" w:color="auto"/>
          </w:divBdr>
        </w:div>
        <w:div w:id="1552572615">
          <w:marLeft w:val="0"/>
          <w:marRight w:val="0"/>
          <w:marTop w:val="0"/>
          <w:marBottom w:val="0"/>
          <w:divBdr>
            <w:top w:val="none" w:sz="0" w:space="0" w:color="auto"/>
            <w:left w:val="none" w:sz="0" w:space="0" w:color="auto"/>
            <w:bottom w:val="none" w:sz="0" w:space="0" w:color="auto"/>
            <w:right w:val="none" w:sz="0" w:space="0" w:color="auto"/>
          </w:divBdr>
        </w:div>
        <w:div w:id="1196382858">
          <w:marLeft w:val="0"/>
          <w:marRight w:val="0"/>
          <w:marTop w:val="0"/>
          <w:marBottom w:val="0"/>
          <w:divBdr>
            <w:top w:val="none" w:sz="0" w:space="0" w:color="auto"/>
            <w:left w:val="none" w:sz="0" w:space="0" w:color="auto"/>
            <w:bottom w:val="none" w:sz="0" w:space="0" w:color="auto"/>
            <w:right w:val="none" w:sz="0" w:space="0" w:color="auto"/>
          </w:divBdr>
        </w:div>
        <w:div w:id="279805069">
          <w:marLeft w:val="0"/>
          <w:marRight w:val="0"/>
          <w:marTop w:val="0"/>
          <w:marBottom w:val="0"/>
          <w:divBdr>
            <w:top w:val="none" w:sz="0" w:space="0" w:color="auto"/>
            <w:left w:val="none" w:sz="0" w:space="0" w:color="auto"/>
            <w:bottom w:val="none" w:sz="0" w:space="0" w:color="auto"/>
            <w:right w:val="none" w:sz="0" w:space="0" w:color="auto"/>
          </w:divBdr>
        </w:div>
        <w:div w:id="1799762417">
          <w:marLeft w:val="0"/>
          <w:marRight w:val="0"/>
          <w:marTop w:val="0"/>
          <w:marBottom w:val="0"/>
          <w:divBdr>
            <w:top w:val="none" w:sz="0" w:space="0" w:color="auto"/>
            <w:left w:val="none" w:sz="0" w:space="0" w:color="auto"/>
            <w:bottom w:val="none" w:sz="0" w:space="0" w:color="auto"/>
            <w:right w:val="none" w:sz="0" w:space="0" w:color="auto"/>
          </w:divBdr>
        </w:div>
        <w:div w:id="216011661">
          <w:marLeft w:val="0"/>
          <w:marRight w:val="0"/>
          <w:marTop w:val="0"/>
          <w:marBottom w:val="0"/>
          <w:divBdr>
            <w:top w:val="none" w:sz="0" w:space="0" w:color="auto"/>
            <w:left w:val="none" w:sz="0" w:space="0" w:color="auto"/>
            <w:bottom w:val="none" w:sz="0" w:space="0" w:color="auto"/>
            <w:right w:val="none" w:sz="0" w:space="0" w:color="auto"/>
          </w:divBdr>
        </w:div>
        <w:div w:id="629752787">
          <w:marLeft w:val="0"/>
          <w:marRight w:val="0"/>
          <w:marTop w:val="0"/>
          <w:marBottom w:val="0"/>
          <w:divBdr>
            <w:top w:val="none" w:sz="0" w:space="0" w:color="auto"/>
            <w:left w:val="none" w:sz="0" w:space="0" w:color="auto"/>
            <w:bottom w:val="none" w:sz="0" w:space="0" w:color="auto"/>
            <w:right w:val="none" w:sz="0" w:space="0" w:color="auto"/>
          </w:divBdr>
        </w:div>
        <w:div w:id="23989673">
          <w:marLeft w:val="0"/>
          <w:marRight w:val="0"/>
          <w:marTop w:val="0"/>
          <w:marBottom w:val="0"/>
          <w:divBdr>
            <w:top w:val="none" w:sz="0" w:space="0" w:color="auto"/>
            <w:left w:val="none" w:sz="0" w:space="0" w:color="auto"/>
            <w:bottom w:val="none" w:sz="0" w:space="0" w:color="auto"/>
            <w:right w:val="none" w:sz="0" w:space="0" w:color="auto"/>
          </w:divBdr>
        </w:div>
        <w:div w:id="243881105">
          <w:marLeft w:val="0"/>
          <w:marRight w:val="0"/>
          <w:marTop w:val="0"/>
          <w:marBottom w:val="0"/>
          <w:divBdr>
            <w:top w:val="none" w:sz="0" w:space="0" w:color="auto"/>
            <w:left w:val="none" w:sz="0" w:space="0" w:color="auto"/>
            <w:bottom w:val="none" w:sz="0" w:space="0" w:color="auto"/>
            <w:right w:val="none" w:sz="0" w:space="0" w:color="auto"/>
          </w:divBdr>
        </w:div>
        <w:div w:id="1557819932">
          <w:marLeft w:val="0"/>
          <w:marRight w:val="0"/>
          <w:marTop w:val="0"/>
          <w:marBottom w:val="0"/>
          <w:divBdr>
            <w:top w:val="none" w:sz="0" w:space="0" w:color="auto"/>
            <w:left w:val="none" w:sz="0" w:space="0" w:color="auto"/>
            <w:bottom w:val="none" w:sz="0" w:space="0" w:color="auto"/>
            <w:right w:val="none" w:sz="0" w:space="0" w:color="auto"/>
          </w:divBdr>
        </w:div>
        <w:div w:id="1412897737">
          <w:marLeft w:val="0"/>
          <w:marRight w:val="0"/>
          <w:marTop w:val="0"/>
          <w:marBottom w:val="0"/>
          <w:divBdr>
            <w:top w:val="none" w:sz="0" w:space="0" w:color="auto"/>
            <w:left w:val="none" w:sz="0" w:space="0" w:color="auto"/>
            <w:bottom w:val="none" w:sz="0" w:space="0" w:color="auto"/>
            <w:right w:val="none" w:sz="0" w:space="0" w:color="auto"/>
          </w:divBdr>
        </w:div>
        <w:div w:id="282538610">
          <w:marLeft w:val="0"/>
          <w:marRight w:val="0"/>
          <w:marTop w:val="0"/>
          <w:marBottom w:val="0"/>
          <w:divBdr>
            <w:top w:val="none" w:sz="0" w:space="0" w:color="auto"/>
            <w:left w:val="none" w:sz="0" w:space="0" w:color="auto"/>
            <w:bottom w:val="none" w:sz="0" w:space="0" w:color="auto"/>
            <w:right w:val="none" w:sz="0" w:space="0" w:color="auto"/>
          </w:divBdr>
        </w:div>
        <w:div w:id="1385987126">
          <w:marLeft w:val="0"/>
          <w:marRight w:val="0"/>
          <w:marTop w:val="0"/>
          <w:marBottom w:val="0"/>
          <w:divBdr>
            <w:top w:val="none" w:sz="0" w:space="0" w:color="auto"/>
            <w:left w:val="none" w:sz="0" w:space="0" w:color="auto"/>
            <w:bottom w:val="none" w:sz="0" w:space="0" w:color="auto"/>
            <w:right w:val="none" w:sz="0" w:space="0" w:color="auto"/>
          </w:divBdr>
        </w:div>
        <w:div w:id="1542324263">
          <w:marLeft w:val="0"/>
          <w:marRight w:val="0"/>
          <w:marTop w:val="0"/>
          <w:marBottom w:val="0"/>
          <w:divBdr>
            <w:top w:val="none" w:sz="0" w:space="0" w:color="auto"/>
            <w:left w:val="none" w:sz="0" w:space="0" w:color="auto"/>
            <w:bottom w:val="none" w:sz="0" w:space="0" w:color="auto"/>
            <w:right w:val="none" w:sz="0" w:space="0" w:color="auto"/>
          </w:divBdr>
        </w:div>
        <w:div w:id="1671443029">
          <w:marLeft w:val="0"/>
          <w:marRight w:val="0"/>
          <w:marTop w:val="0"/>
          <w:marBottom w:val="0"/>
          <w:divBdr>
            <w:top w:val="none" w:sz="0" w:space="0" w:color="auto"/>
            <w:left w:val="none" w:sz="0" w:space="0" w:color="auto"/>
            <w:bottom w:val="none" w:sz="0" w:space="0" w:color="auto"/>
            <w:right w:val="none" w:sz="0" w:space="0" w:color="auto"/>
          </w:divBdr>
        </w:div>
        <w:div w:id="157507257">
          <w:marLeft w:val="0"/>
          <w:marRight w:val="0"/>
          <w:marTop w:val="0"/>
          <w:marBottom w:val="0"/>
          <w:divBdr>
            <w:top w:val="none" w:sz="0" w:space="0" w:color="auto"/>
            <w:left w:val="none" w:sz="0" w:space="0" w:color="auto"/>
            <w:bottom w:val="none" w:sz="0" w:space="0" w:color="auto"/>
            <w:right w:val="none" w:sz="0" w:space="0" w:color="auto"/>
          </w:divBdr>
        </w:div>
        <w:div w:id="374279337">
          <w:marLeft w:val="0"/>
          <w:marRight w:val="0"/>
          <w:marTop w:val="0"/>
          <w:marBottom w:val="0"/>
          <w:divBdr>
            <w:top w:val="none" w:sz="0" w:space="0" w:color="auto"/>
            <w:left w:val="none" w:sz="0" w:space="0" w:color="auto"/>
            <w:bottom w:val="none" w:sz="0" w:space="0" w:color="auto"/>
            <w:right w:val="none" w:sz="0" w:space="0" w:color="auto"/>
          </w:divBdr>
        </w:div>
        <w:div w:id="968899847">
          <w:marLeft w:val="0"/>
          <w:marRight w:val="0"/>
          <w:marTop w:val="0"/>
          <w:marBottom w:val="0"/>
          <w:divBdr>
            <w:top w:val="none" w:sz="0" w:space="0" w:color="auto"/>
            <w:left w:val="none" w:sz="0" w:space="0" w:color="auto"/>
            <w:bottom w:val="none" w:sz="0" w:space="0" w:color="auto"/>
            <w:right w:val="none" w:sz="0" w:space="0" w:color="auto"/>
          </w:divBdr>
        </w:div>
        <w:div w:id="1433821822">
          <w:marLeft w:val="0"/>
          <w:marRight w:val="0"/>
          <w:marTop w:val="0"/>
          <w:marBottom w:val="0"/>
          <w:divBdr>
            <w:top w:val="none" w:sz="0" w:space="0" w:color="auto"/>
            <w:left w:val="none" w:sz="0" w:space="0" w:color="auto"/>
            <w:bottom w:val="none" w:sz="0" w:space="0" w:color="auto"/>
            <w:right w:val="none" w:sz="0" w:space="0" w:color="auto"/>
          </w:divBdr>
        </w:div>
        <w:div w:id="799497082">
          <w:marLeft w:val="0"/>
          <w:marRight w:val="0"/>
          <w:marTop w:val="0"/>
          <w:marBottom w:val="0"/>
          <w:divBdr>
            <w:top w:val="none" w:sz="0" w:space="0" w:color="auto"/>
            <w:left w:val="none" w:sz="0" w:space="0" w:color="auto"/>
            <w:bottom w:val="none" w:sz="0" w:space="0" w:color="auto"/>
            <w:right w:val="none" w:sz="0" w:space="0" w:color="auto"/>
          </w:divBdr>
        </w:div>
        <w:div w:id="2123305396">
          <w:marLeft w:val="0"/>
          <w:marRight w:val="0"/>
          <w:marTop w:val="0"/>
          <w:marBottom w:val="0"/>
          <w:divBdr>
            <w:top w:val="none" w:sz="0" w:space="0" w:color="auto"/>
            <w:left w:val="none" w:sz="0" w:space="0" w:color="auto"/>
            <w:bottom w:val="none" w:sz="0" w:space="0" w:color="auto"/>
            <w:right w:val="none" w:sz="0" w:space="0" w:color="auto"/>
          </w:divBdr>
        </w:div>
        <w:div w:id="1182474149">
          <w:marLeft w:val="0"/>
          <w:marRight w:val="0"/>
          <w:marTop w:val="0"/>
          <w:marBottom w:val="0"/>
          <w:divBdr>
            <w:top w:val="none" w:sz="0" w:space="0" w:color="auto"/>
            <w:left w:val="none" w:sz="0" w:space="0" w:color="auto"/>
            <w:bottom w:val="none" w:sz="0" w:space="0" w:color="auto"/>
            <w:right w:val="none" w:sz="0" w:space="0" w:color="auto"/>
          </w:divBdr>
        </w:div>
        <w:div w:id="102193679">
          <w:marLeft w:val="0"/>
          <w:marRight w:val="0"/>
          <w:marTop w:val="0"/>
          <w:marBottom w:val="0"/>
          <w:divBdr>
            <w:top w:val="none" w:sz="0" w:space="0" w:color="auto"/>
            <w:left w:val="none" w:sz="0" w:space="0" w:color="auto"/>
            <w:bottom w:val="none" w:sz="0" w:space="0" w:color="auto"/>
            <w:right w:val="none" w:sz="0" w:space="0" w:color="auto"/>
          </w:divBdr>
        </w:div>
        <w:div w:id="512377840">
          <w:marLeft w:val="0"/>
          <w:marRight w:val="0"/>
          <w:marTop w:val="0"/>
          <w:marBottom w:val="0"/>
          <w:divBdr>
            <w:top w:val="none" w:sz="0" w:space="0" w:color="auto"/>
            <w:left w:val="none" w:sz="0" w:space="0" w:color="auto"/>
            <w:bottom w:val="none" w:sz="0" w:space="0" w:color="auto"/>
            <w:right w:val="none" w:sz="0" w:space="0" w:color="auto"/>
          </w:divBdr>
        </w:div>
        <w:div w:id="1625769234">
          <w:marLeft w:val="0"/>
          <w:marRight w:val="0"/>
          <w:marTop w:val="0"/>
          <w:marBottom w:val="0"/>
          <w:divBdr>
            <w:top w:val="none" w:sz="0" w:space="0" w:color="auto"/>
            <w:left w:val="none" w:sz="0" w:space="0" w:color="auto"/>
            <w:bottom w:val="none" w:sz="0" w:space="0" w:color="auto"/>
            <w:right w:val="none" w:sz="0" w:space="0" w:color="auto"/>
          </w:divBdr>
        </w:div>
        <w:div w:id="1846050724">
          <w:marLeft w:val="0"/>
          <w:marRight w:val="0"/>
          <w:marTop w:val="0"/>
          <w:marBottom w:val="0"/>
          <w:divBdr>
            <w:top w:val="none" w:sz="0" w:space="0" w:color="auto"/>
            <w:left w:val="none" w:sz="0" w:space="0" w:color="auto"/>
            <w:bottom w:val="none" w:sz="0" w:space="0" w:color="auto"/>
            <w:right w:val="none" w:sz="0" w:space="0" w:color="auto"/>
          </w:divBdr>
        </w:div>
        <w:div w:id="1574199536">
          <w:marLeft w:val="0"/>
          <w:marRight w:val="0"/>
          <w:marTop w:val="0"/>
          <w:marBottom w:val="0"/>
          <w:divBdr>
            <w:top w:val="none" w:sz="0" w:space="0" w:color="auto"/>
            <w:left w:val="none" w:sz="0" w:space="0" w:color="auto"/>
            <w:bottom w:val="none" w:sz="0" w:space="0" w:color="auto"/>
            <w:right w:val="none" w:sz="0" w:space="0" w:color="auto"/>
          </w:divBdr>
        </w:div>
        <w:div w:id="1798183179">
          <w:marLeft w:val="0"/>
          <w:marRight w:val="0"/>
          <w:marTop w:val="0"/>
          <w:marBottom w:val="0"/>
          <w:divBdr>
            <w:top w:val="none" w:sz="0" w:space="0" w:color="auto"/>
            <w:left w:val="none" w:sz="0" w:space="0" w:color="auto"/>
            <w:bottom w:val="none" w:sz="0" w:space="0" w:color="auto"/>
            <w:right w:val="none" w:sz="0" w:space="0" w:color="auto"/>
          </w:divBdr>
        </w:div>
        <w:div w:id="1436707449">
          <w:marLeft w:val="0"/>
          <w:marRight w:val="0"/>
          <w:marTop w:val="0"/>
          <w:marBottom w:val="0"/>
          <w:divBdr>
            <w:top w:val="none" w:sz="0" w:space="0" w:color="auto"/>
            <w:left w:val="none" w:sz="0" w:space="0" w:color="auto"/>
            <w:bottom w:val="none" w:sz="0" w:space="0" w:color="auto"/>
            <w:right w:val="none" w:sz="0" w:space="0" w:color="auto"/>
          </w:divBdr>
        </w:div>
        <w:div w:id="1403328480">
          <w:marLeft w:val="0"/>
          <w:marRight w:val="0"/>
          <w:marTop w:val="0"/>
          <w:marBottom w:val="0"/>
          <w:divBdr>
            <w:top w:val="none" w:sz="0" w:space="0" w:color="auto"/>
            <w:left w:val="none" w:sz="0" w:space="0" w:color="auto"/>
            <w:bottom w:val="none" w:sz="0" w:space="0" w:color="auto"/>
            <w:right w:val="none" w:sz="0" w:space="0" w:color="auto"/>
          </w:divBdr>
        </w:div>
      </w:divsChild>
    </w:div>
    <w:div w:id="2015917534">
      <w:bodyDiv w:val="1"/>
      <w:marLeft w:val="0"/>
      <w:marRight w:val="0"/>
      <w:marTop w:val="0"/>
      <w:marBottom w:val="0"/>
      <w:divBdr>
        <w:top w:val="none" w:sz="0" w:space="0" w:color="auto"/>
        <w:left w:val="none" w:sz="0" w:space="0" w:color="auto"/>
        <w:bottom w:val="none" w:sz="0" w:space="0" w:color="auto"/>
        <w:right w:val="none" w:sz="0" w:space="0" w:color="auto"/>
      </w:divBdr>
      <w:divsChild>
        <w:div w:id="1571118841">
          <w:marLeft w:val="0"/>
          <w:marRight w:val="0"/>
          <w:marTop w:val="0"/>
          <w:marBottom w:val="0"/>
          <w:divBdr>
            <w:top w:val="none" w:sz="0" w:space="0" w:color="auto"/>
            <w:left w:val="none" w:sz="0" w:space="0" w:color="auto"/>
            <w:bottom w:val="none" w:sz="0" w:space="0" w:color="auto"/>
            <w:right w:val="none" w:sz="0" w:space="0" w:color="auto"/>
          </w:divBdr>
        </w:div>
        <w:div w:id="698702438">
          <w:marLeft w:val="0"/>
          <w:marRight w:val="0"/>
          <w:marTop w:val="0"/>
          <w:marBottom w:val="0"/>
          <w:divBdr>
            <w:top w:val="none" w:sz="0" w:space="0" w:color="auto"/>
            <w:left w:val="none" w:sz="0" w:space="0" w:color="auto"/>
            <w:bottom w:val="none" w:sz="0" w:space="0" w:color="auto"/>
            <w:right w:val="none" w:sz="0" w:space="0" w:color="auto"/>
          </w:divBdr>
        </w:div>
        <w:div w:id="438333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fgem.gov.uk/environmental-programmes/domestic-renewable-heat-incentiv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fgem.gov.uk/ofgem-publications/89098/fitpaymentratetableforpublication1october2014nonpvtariffs.pdf"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LexUriServ/LexUriServ.do?uri=OJ:L:2009:140:0016:0062:en: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gem.gov.uk/environmental-programmes/non-domestic-renewable-heat-incentive-rhi/tariffs-apply-non-domestic-rhi-great-britain"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69505/pb13709-waste-water-nps.pdf" TargetMode="External"/><Relationship Id="rId13" Type="http://schemas.openxmlformats.org/officeDocument/2006/relationships/hyperlink" Target="https://www.gov.uk/government/uploads/system/uploads/attachment_data/file/48337/5142-bioenergy-strategy-.pdf" TargetMode="External"/><Relationship Id="rId18" Type="http://schemas.openxmlformats.org/officeDocument/2006/relationships/hyperlink" Target="https://www.gov.uk/government/uploads/system/uploads/attachment_data/file/48041/1387-renewable-heat-incentive.pdf" TargetMode="External"/><Relationship Id="rId26" Type="http://schemas.openxmlformats.org/officeDocument/2006/relationships/hyperlink" Target="https://www.gov.uk/government/uploads/system/uploads/attachment_data/file/301079/part-2-c-and-s-guidance-yr7.pdf" TargetMode="External"/><Relationship Id="rId3" Type="http://schemas.openxmlformats.org/officeDocument/2006/relationships/hyperlink" Target="https://www.gov.uk/government/uploads/system/uploads/attachment_data/file/47613/3702-the-carbon-plan-delivering-our-low-carbon-future.pdf" TargetMode="External"/><Relationship Id="rId21" Type="http://schemas.openxmlformats.org/officeDocument/2006/relationships/hyperlink" Target="https://www.ofgem.gov.uk/publications-and-updates/guidance-volume-one-two-and-fuel-measurement-and-sampling-guidance" TargetMode="External"/><Relationship Id="rId7" Type="http://schemas.openxmlformats.org/officeDocument/2006/relationships/hyperlink" Target="http://www.scotland.gov.uk/Resource/Doc/278424/0083663.pdf" TargetMode="External"/><Relationship Id="rId12" Type="http://schemas.openxmlformats.org/officeDocument/2006/relationships/hyperlink" Target="http://wales.gov.uk/docs/desh/publications/101014bioenergyprogressen.pdf" TargetMode="External"/><Relationship Id="rId17" Type="http://schemas.openxmlformats.org/officeDocument/2006/relationships/hyperlink" Target="https://www.ofgem.gov.uk/ofgem-publications/58855/fit-generator-guidance.pdf" TargetMode="External"/><Relationship Id="rId25" Type="http://schemas.openxmlformats.org/officeDocument/2006/relationships/hyperlink" Target="https://www.nfpas-auctions.co.uk/etoc/news.html" TargetMode="External"/><Relationship Id="rId2" Type="http://schemas.openxmlformats.org/officeDocument/2006/relationships/hyperlink" Target="http://webarchive.nationalarchives.gov.uk/20100509134746/http:/www.decc.gov.uk/en/content/cms/publications/lc_trans_plan/lc_trans_plan.aspx" TargetMode="External"/><Relationship Id="rId16" Type="http://schemas.openxmlformats.org/officeDocument/2006/relationships/hyperlink" Target="http://www.decc.gov.uk/en/content/cms/meeting_energy/renewable_ener/feedin_tariff/feedin_tariff.aspx" TargetMode="External"/><Relationship Id="rId20" Type="http://schemas.openxmlformats.org/officeDocument/2006/relationships/hyperlink" Target="https://www.ofgem.gov.uk/ofgem-publications/83034/rhiguidancedocumentvoltwosept2013edits-consultationver.pdf" TargetMode="External"/><Relationship Id="rId1" Type="http://schemas.openxmlformats.org/officeDocument/2006/relationships/hyperlink" Target="http://www.legislation.gov.uk/ukpga/2008/27/contents" TargetMode="External"/><Relationship Id="rId6" Type="http://schemas.openxmlformats.org/officeDocument/2006/relationships/hyperlink" Target="https://www.gov.uk/government/uploads/system/uploads/attachment_data/file/48129/2176-emr-white-paper.pdf" TargetMode="External"/><Relationship Id="rId11" Type="http://schemas.openxmlformats.org/officeDocument/2006/relationships/hyperlink" Target="http://www.defra.gov.uk/publications/files/anaerobic-digestion-strat-action-plan.pdf" TargetMode="External"/><Relationship Id="rId24" Type="http://schemas.openxmlformats.org/officeDocument/2006/relationships/hyperlink" Target="http://www.dft.gov.uk/topics/sustainable/biofuels/rtfo/" TargetMode="External"/><Relationship Id="rId5" Type="http://schemas.openxmlformats.org/officeDocument/2006/relationships/hyperlink" Target="https://www.gov.uk/government/uploads/system/uploads/attachment_data/file/48128/2167-uk-renewable-energy-roadmap.pdf" TargetMode="External"/><Relationship Id="rId15" Type="http://schemas.openxmlformats.org/officeDocument/2006/relationships/hyperlink" Target="http://www.decc.gov.uk/en/content/cms/meeting_energy/renewable_ener/renew_obs/renew_obs.aspx" TargetMode="External"/><Relationship Id="rId23" Type="http://schemas.openxmlformats.org/officeDocument/2006/relationships/hyperlink" Target="http://www.naturalengland.org.uk/ourwork/farming/funding/ecs/" TargetMode="External"/><Relationship Id="rId10" Type="http://schemas.openxmlformats.org/officeDocument/2006/relationships/hyperlink" Target="http://www.biomassenergycentre.org.uk/pls/portal/docs/PAGE/RESOURCES/REF_LIB_RES/PUBLICATIONS/UKBIOMASSSTRATEGY.PDF" TargetMode="External"/><Relationship Id="rId19" Type="http://schemas.openxmlformats.org/officeDocument/2006/relationships/hyperlink" Target="https://www.ofgem.gov.uk/ofgem-publications/83036/rhiguidancedocumentvolonesept2013edits-consultationver.pdf" TargetMode="External"/><Relationship Id="rId4" Type="http://schemas.openxmlformats.org/officeDocument/2006/relationships/hyperlink" Target="https://www.gov.uk/government/uploads/system/uploads/attachment_data/file/47871/25-nat-ren-energy-action-plan.pdf" TargetMode="External"/><Relationship Id="rId9" Type="http://schemas.openxmlformats.org/officeDocument/2006/relationships/hyperlink" Target="http://www.water.org.uk/home/policy/positions/the-future-of-water-resources" TargetMode="External"/><Relationship Id="rId14" Type="http://schemas.openxmlformats.org/officeDocument/2006/relationships/hyperlink" Target="http://www.decc.gov.uk/en/content/cms/meeting_energy/heat_strategy/heat_strategy.aspx" TargetMode="External"/><Relationship Id="rId22" Type="http://schemas.openxmlformats.org/officeDocument/2006/relationships/hyperlink" Target="http://www.ofgem.gov.uk/Sustainability/Environment/REGOs/Pages/REGO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3C1EFBF4806B4C8FC2E389EFCC5CF3" ma:contentTypeVersion="0" ma:contentTypeDescription="Create a new document." ma:contentTypeScope="" ma:versionID="a5362f52b6d8fbb43449a579effcc5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D92A5-61FD-4C1F-8E5E-A23508502493}">
  <ds:schemaRefs>
    <ds:schemaRef ds:uri="http://schemas.microsoft.com/sharepoint/v3/contenttype/forms"/>
  </ds:schemaRefs>
</ds:datastoreItem>
</file>

<file path=customXml/itemProps2.xml><?xml version="1.0" encoding="utf-8"?>
<ds:datastoreItem xmlns:ds="http://schemas.openxmlformats.org/officeDocument/2006/customXml" ds:itemID="{0DA64007-D142-4F75-B5FB-E845BDF15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FDD9F176-9CD7-4C49-8E73-3B8EF20AD3C0}">
  <ds:schemaRefs>
    <ds:schemaRef ds:uri="http://schemas.microsoft.com/office/2006/metadata/properties"/>
  </ds:schemaRefs>
</ds:datastoreItem>
</file>

<file path=customXml/itemProps4.xml><?xml version="1.0" encoding="utf-8"?>
<ds:datastoreItem xmlns:ds="http://schemas.openxmlformats.org/officeDocument/2006/customXml" ds:itemID="{E89ED930-3D05-4DD3-841C-6FBE7E8E4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3336</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Smith</dc:creator>
  <cp:lastModifiedBy>Andrea Salimbeni</cp:lastModifiedBy>
  <cp:revision>2</cp:revision>
  <dcterms:created xsi:type="dcterms:W3CDTF">2015-09-18T11:33:00Z</dcterms:created>
  <dcterms:modified xsi:type="dcterms:W3CDTF">2015-09-18T11:33:00Z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0x010100F73C1EFBF4806B4C8FC2E389EFCC5CF3</vt:lpwstr>
  </property>
</Properties>
</file>